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DBC8" w14:textId="77777777" w:rsidR="00151CAF" w:rsidRPr="00151CAF" w:rsidRDefault="00151CAF" w:rsidP="00151CAF">
      <w:pPr>
        <w:rPr>
          <w:i/>
          <w:iCs/>
        </w:rPr>
      </w:pPr>
      <w:r w:rsidRPr="00151CAF">
        <w:rPr>
          <w:i/>
          <w:iCs/>
        </w:rPr>
        <w:t>Article 14</w:t>
      </w:r>
    </w:p>
    <w:p w14:paraId="597B5CD9" w14:textId="77777777" w:rsidR="00151CAF" w:rsidRPr="00151CAF" w:rsidRDefault="00151CAF" w:rsidP="00151CAF">
      <w:pPr>
        <w:rPr>
          <w:b/>
          <w:bCs/>
        </w:rPr>
      </w:pPr>
      <w:r w:rsidRPr="00151CAF">
        <w:rPr>
          <w:b/>
          <w:bCs/>
        </w:rPr>
        <w:t>Information on the state of health and expected lifetime of batteries</w:t>
      </w:r>
    </w:p>
    <w:p w14:paraId="6CA5DED3" w14:textId="77777777" w:rsidR="00151CAF" w:rsidRPr="00151CAF" w:rsidRDefault="00151CAF" w:rsidP="00151CAF">
      <w:r w:rsidRPr="00151CAF">
        <w:t>1.   From 18 August 2024, up-to-date data for the parameters for determining the state of health and expected lifetime of batteries as set out in Annex VII shall be contained in the battery management system of stationary battery energy storage systems, LMT batteries and electric vehicle batteries.</w:t>
      </w:r>
    </w:p>
    <w:p w14:paraId="3262375E" w14:textId="77777777" w:rsidR="00151CAF" w:rsidRPr="00151CAF" w:rsidRDefault="00151CAF" w:rsidP="00151CAF">
      <w:r w:rsidRPr="00151CAF">
        <w:t>2.   Read-only access to the data for the parameters set out in Annex VII through the battery management system referred to in paragraph 1 shall be provided, respecting the intellectual property rights of the battery manufacturer, on a non-discriminatory basis to the natural or legal person who has legally purchased the battery, including independent operators or waste management operators, or any third party acting on their behalf at any time, for the purpose of:</w:t>
      </w:r>
    </w:p>
    <w:tbl>
      <w:tblPr>
        <w:tblW w:w="5000" w:type="pct"/>
        <w:tblCellMar>
          <w:left w:w="0" w:type="dxa"/>
          <w:right w:w="0" w:type="dxa"/>
        </w:tblCellMar>
        <w:tblLook w:val="04A0" w:firstRow="1" w:lastRow="0" w:firstColumn="1" w:lastColumn="0" w:noHBand="0" w:noVBand="1"/>
      </w:tblPr>
      <w:tblGrid>
        <w:gridCol w:w="268"/>
        <w:gridCol w:w="8758"/>
      </w:tblGrid>
      <w:tr w:rsidR="00151CAF" w:rsidRPr="00151CAF" w14:paraId="3902B16C" w14:textId="77777777">
        <w:tc>
          <w:tcPr>
            <w:tcW w:w="0" w:type="auto"/>
            <w:hideMark/>
          </w:tcPr>
          <w:p w14:paraId="7CF2EE95" w14:textId="77777777" w:rsidR="00151CAF" w:rsidRPr="00151CAF" w:rsidRDefault="00151CAF" w:rsidP="00151CAF">
            <w:r w:rsidRPr="00151CAF">
              <w:t>(a)</w:t>
            </w:r>
          </w:p>
        </w:tc>
        <w:tc>
          <w:tcPr>
            <w:tcW w:w="0" w:type="auto"/>
            <w:hideMark/>
          </w:tcPr>
          <w:p w14:paraId="0EB7B761" w14:textId="77777777" w:rsidR="00151CAF" w:rsidRPr="00151CAF" w:rsidRDefault="00151CAF" w:rsidP="00151CAF">
            <w:r w:rsidRPr="00151CAF">
              <w:t>making the battery available to independent aggregators or market participants through energy storage;</w:t>
            </w:r>
          </w:p>
        </w:tc>
      </w:tr>
    </w:tbl>
    <w:p w14:paraId="375D4404" w14:textId="77777777" w:rsidR="00151CAF" w:rsidRPr="00151CAF" w:rsidRDefault="00151CAF" w:rsidP="00151CAF">
      <w:pPr>
        <w:rPr>
          <w:vanish/>
        </w:rPr>
      </w:pPr>
    </w:p>
    <w:tbl>
      <w:tblPr>
        <w:tblW w:w="5000" w:type="pct"/>
        <w:tblCellMar>
          <w:left w:w="0" w:type="dxa"/>
          <w:right w:w="0" w:type="dxa"/>
        </w:tblCellMar>
        <w:tblLook w:val="04A0" w:firstRow="1" w:lastRow="0" w:firstColumn="1" w:lastColumn="0" w:noHBand="0" w:noVBand="1"/>
      </w:tblPr>
      <w:tblGrid>
        <w:gridCol w:w="276"/>
        <w:gridCol w:w="8750"/>
      </w:tblGrid>
      <w:tr w:rsidR="00151CAF" w:rsidRPr="00151CAF" w14:paraId="1110411C" w14:textId="77777777">
        <w:tc>
          <w:tcPr>
            <w:tcW w:w="0" w:type="auto"/>
            <w:hideMark/>
          </w:tcPr>
          <w:p w14:paraId="100727BF" w14:textId="77777777" w:rsidR="00151CAF" w:rsidRPr="00151CAF" w:rsidRDefault="00151CAF" w:rsidP="00151CAF">
            <w:r w:rsidRPr="00151CAF">
              <w:t>(b)</w:t>
            </w:r>
          </w:p>
        </w:tc>
        <w:tc>
          <w:tcPr>
            <w:tcW w:w="0" w:type="auto"/>
            <w:hideMark/>
          </w:tcPr>
          <w:p w14:paraId="7D8C7923" w14:textId="77777777" w:rsidR="00151CAF" w:rsidRPr="00151CAF" w:rsidRDefault="00151CAF" w:rsidP="00151CAF">
            <w:r w:rsidRPr="00151CAF">
              <w:t>evaluating the residual value or remaining lifetime of the battery and capability for further use, based on the estimation of the state of health of the battery;</w:t>
            </w:r>
          </w:p>
        </w:tc>
      </w:tr>
    </w:tbl>
    <w:p w14:paraId="379E795B" w14:textId="77777777" w:rsidR="00151CAF" w:rsidRPr="00151CAF" w:rsidRDefault="00151CAF" w:rsidP="00151CAF">
      <w:pPr>
        <w:rPr>
          <w:vanish/>
        </w:rPr>
      </w:pPr>
    </w:p>
    <w:tbl>
      <w:tblPr>
        <w:tblW w:w="5000" w:type="pct"/>
        <w:tblCellMar>
          <w:left w:w="0" w:type="dxa"/>
          <w:right w:w="0" w:type="dxa"/>
        </w:tblCellMar>
        <w:tblLook w:val="04A0" w:firstRow="1" w:lastRow="0" w:firstColumn="1" w:lastColumn="0" w:noHBand="0" w:noVBand="1"/>
      </w:tblPr>
      <w:tblGrid>
        <w:gridCol w:w="267"/>
        <w:gridCol w:w="8759"/>
      </w:tblGrid>
      <w:tr w:rsidR="00151CAF" w:rsidRPr="00151CAF" w14:paraId="20329FB4" w14:textId="77777777">
        <w:tc>
          <w:tcPr>
            <w:tcW w:w="0" w:type="auto"/>
            <w:hideMark/>
          </w:tcPr>
          <w:p w14:paraId="55A27C03" w14:textId="77777777" w:rsidR="00151CAF" w:rsidRPr="00151CAF" w:rsidRDefault="00151CAF" w:rsidP="00151CAF">
            <w:r w:rsidRPr="00151CAF">
              <w:t>(c)</w:t>
            </w:r>
          </w:p>
        </w:tc>
        <w:tc>
          <w:tcPr>
            <w:tcW w:w="0" w:type="auto"/>
            <w:hideMark/>
          </w:tcPr>
          <w:p w14:paraId="557C64C4" w14:textId="77777777" w:rsidR="00151CAF" w:rsidRPr="00151CAF" w:rsidRDefault="00151CAF" w:rsidP="00151CAF">
            <w:r w:rsidRPr="00151CAF">
              <w:t>facilitating the preparation for re-use, preparation for repurposing, repurposing or remanufacturing of the battery.</w:t>
            </w:r>
          </w:p>
        </w:tc>
      </w:tr>
    </w:tbl>
    <w:p w14:paraId="51257077" w14:textId="77777777" w:rsidR="00151CAF" w:rsidRPr="00151CAF" w:rsidRDefault="00151CAF" w:rsidP="00151CAF">
      <w:r w:rsidRPr="00151CAF">
        <w:t>3.   The battery management system shall include a software reset function, in case economic operators carrying out preparation for re-use, preparation for repurposing, repurposing or remanufacturing need to upload different battery management system software. If the software reset function is used, the original battery manufacturer shall not be held liable for any breach of the safety or functionality of the battery that could be attributed to battery management system software uploaded after that battery was placed on the market.</w:t>
      </w:r>
    </w:p>
    <w:p w14:paraId="2458684A" w14:textId="77777777" w:rsidR="00151CAF" w:rsidRPr="00151CAF" w:rsidRDefault="00151CAF" w:rsidP="00151CAF">
      <w:r w:rsidRPr="00151CAF">
        <w:t>4.   The Commission is empowered to adopt a delegated act in accordance with Article 89 to amend the parameters for determining the state of health and expected lifetime of batteries set out in Annex VII in view of market developments and technical and scientific progress and to ensure synergies with parameters set in UN Global Technical Regulation No 22 on in-vehicle battery durability for electrified vehicles, with due regard to the intellectual property rights of the battery manufacturer.</w:t>
      </w:r>
    </w:p>
    <w:p w14:paraId="6EA5974D" w14:textId="77777777" w:rsidR="00151CAF" w:rsidRPr="00151CAF" w:rsidRDefault="00151CAF" w:rsidP="00151CAF">
      <w:r w:rsidRPr="00151CAF">
        <w:t>5.   The provisions of this Article shall apply in addition to those laid down in Union law on type approval of vehicles.</w:t>
      </w:r>
    </w:p>
    <w:p w14:paraId="468CD00A" w14:textId="438BF2ED" w:rsidR="001256C4" w:rsidRDefault="00151CAF">
      <w:r>
        <w:t xml:space="preserve">Link: </w:t>
      </w:r>
      <w:hyperlink r:id="rId5" w:history="1">
        <w:r w:rsidRPr="007B2E56">
          <w:rPr>
            <w:rStyle w:val="Hyperlink"/>
          </w:rPr>
          <w:t>https://eur-lex.europa.eu/legal-content/EN/TXT/?uri=CELEX%3A32023R1542</w:t>
        </w:r>
      </w:hyperlink>
    </w:p>
    <w:p w14:paraId="13EF72AD" w14:textId="77777777" w:rsidR="00775730" w:rsidRDefault="003177CD" w:rsidP="00422CB5">
      <w:r>
        <w:t xml:space="preserve">Summarize </w:t>
      </w:r>
      <w:r w:rsidR="00775730">
        <w:t xml:space="preserve">Guide </w:t>
      </w:r>
      <w:r>
        <w:t xml:space="preserve">link </w:t>
      </w:r>
      <w:r w:rsidR="00775730">
        <w:t xml:space="preserve">: </w:t>
      </w:r>
      <w:hyperlink r:id="rId6" w:history="1">
        <w:r w:rsidR="00775730" w:rsidRPr="007B2E56">
          <w:rPr>
            <w:rStyle w:val="Hyperlink"/>
          </w:rPr>
          <w:t>https://tracextech.com/eu-battery-regulation-2023-1542-compliance-guide/</w:t>
        </w:r>
      </w:hyperlink>
    </w:p>
    <w:p w14:paraId="74B46EDB" w14:textId="49DBE510" w:rsidR="00AD64A4" w:rsidRDefault="00AD64A4" w:rsidP="00422CB5">
      <w:r>
        <w:lastRenderedPageBreak/>
        <w:t xml:space="preserve">Link: </w:t>
      </w:r>
      <w:hyperlink r:id="rId7" w:history="1">
        <w:r w:rsidR="003F4518" w:rsidRPr="007B2E56">
          <w:rPr>
            <w:rStyle w:val="Hyperlink"/>
          </w:rPr>
          <w:t>https://group.mercedes-benz.com/sustainability/environment-climate/decarbonisation/ambition-2039-our-path-to-co2-neutrality.html</w:t>
        </w:r>
      </w:hyperlink>
    </w:p>
    <w:p w14:paraId="2C17A66A" w14:textId="4DC7469F" w:rsidR="00422CB5" w:rsidRPr="00422CB5" w:rsidRDefault="00422CB5" w:rsidP="00422CB5">
      <w:r w:rsidRPr="00422CB5">
        <w:t>Core element of our sustainable business strategy</w:t>
      </w:r>
    </w:p>
    <w:p w14:paraId="2257FA2A" w14:textId="77777777" w:rsidR="00422CB5" w:rsidRPr="00422CB5" w:rsidRDefault="00422CB5" w:rsidP="00422CB5">
      <w:r w:rsidRPr="00422CB5">
        <w:t>Ambition 2039.</w:t>
      </w:r>
    </w:p>
    <w:p w14:paraId="2424E5F1" w14:textId="77777777" w:rsidR="00422CB5" w:rsidRPr="00422CB5" w:rsidRDefault="00422CB5" w:rsidP="00422CB5">
      <w:pPr>
        <w:rPr>
          <w:b/>
          <w:bCs/>
        </w:rPr>
      </w:pPr>
      <w:r w:rsidRPr="00422CB5">
        <w:rPr>
          <w:b/>
          <w:bCs/>
        </w:rPr>
        <w:t>A core element of our sustainable business strategy is Ambition 2039, with which we already set the course in 2019 for a holistic approach to climate protection and air pollution control. The ambition is to make our entire fleet of new vehicles net carbon-neutral</w:t>
      </w:r>
      <w:r w:rsidRPr="00422CB5">
        <w:rPr>
          <w:b/>
          <w:bCs/>
          <w:vertAlign w:val="superscript"/>
        </w:rPr>
        <w:t>[1]</w:t>
      </w:r>
      <w:r w:rsidRPr="00422CB5">
        <w:rPr>
          <w:b/>
          <w:bCs/>
        </w:rPr>
        <w:t> along the entire value chain and over the vehicles' entire life cycle by 2039. To achieve this goal, the key levers include the electrification of the vehicle fleet and the inclusion of renewable energy sources for charging the vehicles, the decarbonization of the supply chain including the use of CO₂-reduced materials, as well as the use of renewable energies in production.</w:t>
      </w:r>
    </w:p>
    <w:p w14:paraId="3696095F" w14:textId="77777777" w:rsidR="00422CB5" w:rsidRPr="00422CB5" w:rsidRDefault="00422CB5" w:rsidP="00422CB5">
      <w:r w:rsidRPr="00422CB5">
        <w:t>Already a broad portfolio of all-electric vehicles</w:t>
      </w:r>
    </w:p>
    <w:p w14:paraId="34F24B8B" w14:textId="77777777" w:rsidR="00422CB5" w:rsidRPr="00422CB5" w:rsidRDefault="00422CB5" w:rsidP="00422CB5">
      <w:r w:rsidRPr="00422CB5">
        <w:t>Mercedes-Benz is taking the necessary steps to go all electric. The market conditions, the infrastructure and the consumer behavior determine the course of the transformation. The Group aims to reduce CO₂ emissions per passenger car in the new vehicle fleet up to 50% across all stages of the value chain over the entire lifecycle within the next decade compared to 2020. We already offer a broad portfolio of battery-electric vehicles – from the compact EQA to the spacious EQS SUV. The ‚electric-first‘ architecture MMA which will be launched in 2025, marks the next step into the electric future of Mercedes-Benz. The architectures MB.EA, AMG.EA and VAN.EA will follow. Thus, we will offer our customers a fully electric alternative for each model.</w:t>
      </w:r>
    </w:p>
    <w:p w14:paraId="4E48D8A8" w14:textId="77777777" w:rsidR="00422CB5" w:rsidRPr="00422CB5" w:rsidRDefault="00422CB5" w:rsidP="00422CB5">
      <w:r w:rsidRPr="00422CB5">
        <w:t>By 2026, we will have invested more than 60 billion euros on this transformation to prepare our production network to meet demand and be ready to capture the tipping point into an all-electric era.</w:t>
      </w:r>
    </w:p>
    <w:p w14:paraId="5BAC719B" w14:textId="77777777" w:rsidR="00422CB5" w:rsidRPr="00422CB5" w:rsidRDefault="00422CB5" w:rsidP="00422CB5">
      <w:r w:rsidRPr="00422CB5">
        <w:t>Net carbon-neutral</w:t>
      </w:r>
      <w:r w:rsidRPr="00422CB5">
        <w:rPr>
          <w:vertAlign w:val="superscript"/>
        </w:rPr>
        <w:t>[1]</w:t>
      </w:r>
      <w:r w:rsidRPr="00422CB5">
        <w:t> production since 2022</w:t>
      </w:r>
    </w:p>
    <w:p w14:paraId="018F3994" w14:textId="77777777" w:rsidR="00422CB5" w:rsidRPr="00422CB5" w:rsidRDefault="00422CB5" w:rsidP="00422CB5">
      <w:r w:rsidRPr="00422CB5">
        <w:t>Mercedes-Benz’s own vehicle production locations achieved net carbon-neutrality</w:t>
      </w:r>
      <w:r w:rsidRPr="00422CB5">
        <w:rPr>
          <w:vertAlign w:val="superscript"/>
        </w:rPr>
        <w:t>[1]</w:t>
      </w:r>
      <w:r w:rsidRPr="00422CB5">
        <w:t> in 2022, and the company plans to cover more than 70 percent of its energy needs through renewable energy by 2030 by rolling out solar and wind power at own sites as well as through further power purchase agreements. The ambition for all Mercedes-Benz production plants worldwide is to run 100 percent on renewable energy with zero CO₂ emissions by 2039.</w:t>
      </w:r>
    </w:p>
    <w:p w14:paraId="6EA09650" w14:textId="77777777" w:rsidR="00422CB5" w:rsidRPr="00422CB5" w:rsidRDefault="00422CB5" w:rsidP="00422CB5">
      <w:r w:rsidRPr="00422CB5">
        <w:t>By 2025, solar plants with a capacity of more than 140 MWp (megawatt peak) are to go into operation. In addition, investments in new power purchase agreements for wind turbines worth one billion euros are planned by the middle of the decade.</w:t>
      </w:r>
    </w:p>
    <w:p w14:paraId="21B37A12" w14:textId="3E94DE05" w:rsidR="00422CB5" w:rsidRPr="00422CB5" w:rsidRDefault="00422CB5" w:rsidP="00422CB5">
      <w:r w:rsidRPr="00422CB5">
        <w:rPr>
          <w:noProof/>
        </w:rPr>
        <w:lastRenderedPageBreak/>
        <w:drawing>
          <wp:inline distT="0" distB="0" distL="0" distR="0" wp14:anchorId="29B9FD9D" wp14:editId="30C725E3">
            <wp:extent cx="5731510" cy="3223895"/>
            <wp:effectExtent l="0" t="0" r="2540" b="0"/>
            <wp:docPr id="993396866" name="Picture 8" descr="Factory 56 Sindelfingen, Ger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actory 56 Sindelfingen, German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D5EBF0E" w14:textId="77777777" w:rsidR="00422CB5" w:rsidRPr="00422CB5" w:rsidRDefault="00422CB5" w:rsidP="00422CB5">
      <w:pPr>
        <w:rPr>
          <w:b/>
          <w:bCs/>
        </w:rPr>
      </w:pPr>
      <w:r w:rsidRPr="00422CB5">
        <w:rPr>
          <w:b/>
          <w:bCs/>
        </w:rPr>
        <w:t>Factory 56 Sindelfingen, Germany.</w:t>
      </w:r>
    </w:p>
    <w:p w14:paraId="36D476F8" w14:textId="77777777" w:rsidR="00422CB5" w:rsidRPr="00422CB5" w:rsidRDefault="00422CB5" w:rsidP="00422CB5">
      <w:hyperlink r:id="rId9" w:tgtFrame="_self" w:history="1">
        <w:r w:rsidRPr="00422CB5">
          <w:rPr>
            <w:rStyle w:val="Hyperlink"/>
          </w:rPr>
          <w:t>“Factory 56”</w:t>
        </w:r>
      </w:hyperlink>
      <w:r w:rsidRPr="00422CB5">
        <w:t>, one of the most modern automotive production facilities in the world, entered operation at the Mercedes-Benz Sindelﬁngen plant in 2020. It embodies the future of production at Mercedes-Benz and sets new standards for automotive manufacturing. In line with Ambition 2039, Factory 56 is net carbon-neutral</w:t>
      </w:r>
      <w:r w:rsidRPr="00422CB5">
        <w:rPr>
          <w:vertAlign w:val="superscript"/>
        </w:rPr>
        <w:t>[1]</w:t>
      </w:r>
      <w:r w:rsidRPr="00422CB5">
        <w:t> and produces with a significantly reduced energy requirement. This is made possible, among other things, by an innovative energy concept with a photovoltaic system, a DC grid and energy storage systems based on recycled vehicle batteries.</w:t>
      </w:r>
    </w:p>
    <w:p w14:paraId="0FE4DDBD" w14:textId="77777777" w:rsidR="00422CB5" w:rsidRPr="00422CB5" w:rsidRDefault="00422CB5" w:rsidP="00422CB5">
      <w:r w:rsidRPr="00422CB5">
        <w:t>Extraordinary green power concept</w:t>
      </w:r>
    </w:p>
    <w:p w14:paraId="5A1B66BD" w14:textId="77777777" w:rsidR="00422CB5" w:rsidRPr="00422CB5" w:rsidRDefault="00422CB5" w:rsidP="00422CB5">
      <w:r w:rsidRPr="00422CB5">
        <w:t>Mercedes-Benz is currently implementing a </w:t>
      </w:r>
      <w:hyperlink r:id="rId10" w:tgtFrame="_self" w:history="1">
        <w:r w:rsidRPr="00422CB5">
          <w:rPr>
            <w:rStyle w:val="Hyperlink"/>
          </w:rPr>
          <w:t>green power concept</w:t>
        </w:r>
      </w:hyperlink>
      <w:r w:rsidRPr="00422CB5">
        <w:t> in Germany with the energy supplier Enovos and the Norwegian energy producer Statkraft. Since 2022, we have been purchasing electricity that comes exclusively from renewable sources. A green power supply contract ensures the purchase of electricity from renewable energies at all times.</w:t>
      </w:r>
    </w:p>
    <w:p w14:paraId="68413AA6" w14:textId="5638C3B2" w:rsidR="00422CB5" w:rsidRPr="00422CB5" w:rsidRDefault="00422CB5" w:rsidP="00422CB5">
      <w:r w:rsidRPr="00422CB5">
        <w:rPr>
          <w:noProof/>
        </w:rPr>
        <w:lastRenderedPageBreak/>
        <w:drawing>
          <wp:inline distT="0" distB="0" distL="0" distR="0" wp14:anchorId="5F432FCC" wp14:editId="7473648E">
            <wp:extent cx="5731510" cy="3223895"/>
            <wp:effectExtent l="0" t="0" r="2540" b="0"/>
            <wp:docPr id="362928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973D1EA" w14:textId="77777777" w:rsidR="00422CB5" w:rsidRPr="00422CB5" w:rsidRDefault="00422CB5" w:rsidP="00422CB5">
      <w:r w:rsidRPr="00422CB5">
        <w:t>Together for climate protection</w:t>
      </w:r>
    </w:p>
    <w:p w14:paraId="5B48CF27" w14:textId="77777777" w:rsidR="00422CB5" w:rsidRPr="00422CB5" w:rsidRDefault="00422CB5" w:rsidP="00422CB5">
      <w:pPr>
        <w:rPr>
          <w:b/>
          <w:bCs/>
        </w:rPr>
      </w:pPr>
      <w:r w:rsidRPr="00422CB5">
        <w:rPr>
          <w:b/>
          <w:bCs/>
        </w:rPr>
        <w:t>» Key criterion for supplier selection</w:t>
      </w:r>
    </w:p>
    <w:p w14:paraId="13400082" w14:textId="77777777" w:rsidR="00422CB5" w:rsidRPr="00422CB5" w:rsidRDefault="00422CB5" w:rsidP="00422CB5">
      <w:r w:rsidRPr="00422CB5">
        <w:t>With its Ambition 2039, Mercedes-Benz is pursuing the goal of offering net carbon-neutrality</w:t>
      </w:r>
      <w:r w:rsidRPr="00422CB5">
        <w:rPr>
          <w:vertAlign w:val="superscript"/>
        </w:rPr>
        <w:t>[1]</w:t>
      </w:r>
      <w:r w:rsidRPr="00422CB5">
        <w:t> along the entire value chain in our fleet of new vehicles in less than 20 years. However, the transformation to electric mobility increases the energy demand in the upstream supply chain. A holistic approach on the path to all-electric mobility therefore also includes our suppliers. Together with our partners in the supply chain, we want to implement effective climate protection measures. Our goal is to prevent, minimize or, as far as possible, eliminate potential environmental impacts along our supply chain.</w:t>
      </w:r>
    </w:p>
    <w:p w14:paraId="19603FF0" w14:textId="77777777" w:rsidR="00422CB5" w:rsidRPr="00422CB5" w:rsidRDefault="00422CB5" w:rsidP="00422CB5">
      <w:r w:rsidRPr="00422CB5">
        <w:t>In doing so, we focus on materials and components that are particularly CO₂-intensive in production and processing. The focus components include aluminium, steel, and battery cells. We have already reached some important milestones here: we have made net carbon-neutral</w:t>
      </w:r>
      <w:r w:rsidRPr="00422CB5">
        <w:rPr>
          <w:vertAlign w:val="superscript"/>
        </w:rPr>
        <w:t>[1]</w:t>
      </w:r>
      <w:r w:rsidRPr="00422CB5">
        <w:t> cell production a central requirement for all our battery cell partners. This allows us to reduce emissions in battery production by around 40 percent. In addition, Mercedes-Benz Cars and Vans are engaged in ongoing negotiations with other players in the supply chain – including electrode producers, refineries and mines. The EQS was our first vehicle with cells produced in a net carbon-neutral</w:t>
      </w:r>
      <w:r w:rsidRPr="00422CB5">
        <w:rPr>
          <w:vertAlign w:val="superscript"/>
        </w:rPr>
        <w:t>[1]</w:t>
      </w:r>
      <w:r w:rsidRPr="00422CB5">
        <w:t> way. The net carbon-neutral</w:t>
      </w:r>
      <w:r w:rsidRPr="00422CB5">
        <w:rPr>
          <w:vertAlign w:val="superscript"/>
        </w:rPr>
        <w:t>[1]</w:t>
      </w:r>
      <w:r w:rsidRPr="00422CB5">
        <w:t> production at the partners was additionally verified and confirmed by the expert and testing organisations.</w:t>
      </w:r>
    </w:p>
    <w:p w14:paraId="1C81A352" w14:textId="6417C788" w:rsidR="00422CB5" w:rsidRPr="00422CB5" w:rsidRDefault="00422CB5" w:rsidP="00422CB5">
      <w:r w:rsidRPr="00422CB5">
        <w:rPr>
          <w:noProof/>
        </w:rPr>
        <w:lastRenderedPageBreak/>
        <w:drawing>
          <wp:inline distT="0" distB="0" distL="0" distR="0" wp14:anchorId="2F8D950E" wp14:editId="1BF3D65D">
            <wp:extent cx="5731510" cy="3223895"/>
            <wp:effectExtent l="0" t="0" r="2540" b="0"/>
            <wp:docPr id="1444132548" name="Picture 6" descr="Mercedes-Benz Batt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ercedes-Benz Batteri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4633F0E" w14:textId="77777777" w:rsidR="00422CB5" w:rsidRPr="00422CB5" w:rsidRDefault="00422CB5" w:rsidP="00422CB5">
      <w:pPr>
        <w:rPr>
          <w:b/>
          <w:bCs/>
        </w:rPr>
      </w:pPr>
      <w:r w:rsidRPr="00422CB5">
        <w:rPr>
          <w:b/>
          <w:bCs/>
        </w:rPr>
        <w:t>Mercedes-Benz Batteries.</w:t>
      </w:r>
    </w:p>
    <w:p w14:paraId="5E76D3C0" w14:textId="77777777" w:rsidR="00422CB5" w:rsidRPr="00422CB5" w:rsidRDefault="00422CB5" w:rsidP="00422CB5">
      <w:pPr>
        <w:rPr>
          <w:b/>
          <w:bCs/>
        </w:rPr>
      </w:pPr>
      <w:r w:rsidRPr="00422CB5">
        <w:rPr>
          <w:b/>
          <w:bCs/>
        </w:rPr>
        <w:t>» Responsible procurement of raw materials</w:t>
      </w:r>
    </w:p>
    <w:p w14:paraId="0FA65A86" w14:textId="77777777" w:rsidR="00422CB5" w:rsidRPr="00422CB5" w:rsidRDefault="00422CB5" w:rsidP="00422CB5">
      <w:r w:rsidRPr="00422CB5">
        <w:t>We rely on sustainable supply chains for our electric fleet and think about the responsible use of raw materials right from the start. Our goal is that our products contain only materials, raw and otherwise, that have been mined and produced without violating human rights and environmental standards. We therefore require our direct suppliers to comply with our Responsible Sourcing Standards (RSS) and to carry them into their upstream value chains as well as to monitor their compliance. The RSS apply worldwide and represent our code of conduct for the supply chain and include binding minimum requirements for suppliers. Mining auditing is another important tool to carry out due diligence in raw material supply chains and to address environmental and human rights risks that depend on the on-site management of the mine. In addition, Mercedes-Benz makes the “Standard for Responsible Mining” of the “Initiative for Responsible Mining Assurance” (IRMA) a key criterion for new supplier decisions and contracts in raw material supply chains and will only work with suppliers who agree to these requirements. As early as 2018, we commissioned RCS Global to create transparency along the complex cobalt supply chains of our battery cells and to check them against the OECD due diligence guidelines. In view of increasing requirements for due diligence and transparency in the supply chains of battery cells, we are not only continuing to implement audit and transparency measures in cooperation with RCS Global, but are also extending them from cobalt to the raw materials lithium, nickel, graphite, copper and manganese. In addition, the scope of human rights due diligence has been extended to environmental aspects such as biodiversity, water protection, hazardous substances and energy management.</w:t>
      </w:r>
    </w:p>
    <w:p w14:paraId="7BEB7E20" w14:textId="77777777" w:rsidR="00422CB5" w:rsidRPr="00422CB5" w:rsidRDefault="00422CB5" w:rsidP="00422CB5">
      <w:r w:rsidRPr="00422CB5">
        <w:lastRenderedPageBreak/>
        <w:t>For years, we have also been investing in resource-efficient technologies and manufacturing processes for batteries and are working to further reduce the use of critical materials. The cobalt content in the cathodes of the EQS battery cells, for example, is less than ten per cent and has been significantly reduced compared to the previous battery generation. In the future, we want to use post-lithium-ion technologies with new material compositions to completely eliminate materials such as cobalt. The further optimisation of recyclability and its implementation is also part of our holistic battery strategy.</w:t>
      </w:r>
    </w:p>
    <w:p w14:paraId="14527B5A" w14:textId="77777777" w:rsidR="00422CB5" w:rsidRPr="00422CB5" w:rsidRDefault="00422CB5" w:rsidP="00422CB5">
      <w:hyperlink r:id="rId13" w:tgtFrame="_self" w:history="1">
        <w:r w:rsidRPr="00422CB5">
          <w:rPr>
            <w:rStyle w:val="Hyperlink"/>
            <w:b/>
            <w:bCs/>
          </w:rPr>
          <w:t>More information on the handling of risk raw materials.</w:t>
        </w:r>
      </w:hyperlink>
    </w:p>
    <w:p w14:paraId="3B52EA90" w14:textId="77777777" w:rsidR="00422CB5" w:rsidRPr="00422CB5" w:rsidRDefault="00422CB5" w:rsidP="00422CB5">
      <w:r w:rsidRPr="00422CB5">
        <w:t>In addition, we address CO₂ emissions in our supply chain via the so-called “Ambition Letter”. For new contracts, we only accept suppliers who have confirmed that they will supply us with CO₂-neutral products from 2039 at the latest - and thus meet our climate targets. This means that only when the Ambition Letter has been signed suppliers do have a chance of being selected for the contract. In this way, we create a good basis for initiating actual reductions with our direct suppliers and in the supply chain. As of today, suppliers accounting for around 90 percent of Mercedes-Benz's annual purchasing volume have already signed an Ambition Letter, agreeing to supply us only with net carbon-neutral</w:t>
      </w:r>
      <w:r w:rsidRPr="00422CB5">
        <w:rPr>
          <w:vertAlign w:val="superscript"/>
        </w:rPr>
        <w:t>[1]</w:t>
      </w:r>
      <w:r w:rsidRPr="00422CB5">
        <w:t> production materials by 2039 at the latest.</w:t>
      </w:r>
    </w:p>
    <w:p w14:paraId="76FD58FF" w14:textId="77777777" w:rsidR="00422CB5" w:rsidRPr="00422CB5" w:rsidRDefault="00422CB5" w:rsidP="00422CB5">
      <w:r w:rsidRPr="00422CB5">
        <w:t>Together with our suppliers, we are also working on a net carbon-neutral</w:t>
      </w:r>
      <w:r w:rsidRPr="00422CB5">
        <w:rPr>
          <w:vertAlign w:val="superscript"/>
        </w:rPr>
        <w:t>[1]</w:t>
      </w:r>
      <w:r w:rsidRPr="00422CB5">
        <w:t> steel supply chain. By the end of the decade Mercedes-Benz aims to purchase more than 200,000 metric tons of CO₂-reduced steel annually from our European suppliers Salzgitter, thyssenkrupp Steel, voestalpine, Arvedi, SSAB and H2 Green Steel (H2GS) for our press shops. Already today, we are sourcing CO₂-reduced flat steel from Salzgitter Flachstahl GmbH. This is made from 100 percent scrap in an electric arc furnace. Moreover, we source CO₂-reduced steel from our Italian steel partner Arvedi. In September 2023, we also signed a supply agreement with Steel Dynamics, Inc. (SDI) for more than 50,000 metric tons of CO₂-reduced steel annually for our production plant in Tuscaloosa, Alabama. The steel supplied by SDI is produced in an electric arc furnace (EAF) that runs on 100 percent green electricity and has a scrap content of at least 70 percent. At the same time we are looking into CO₂-free steel: With our strategic partner H2 Green Steel (H2GS) we agreed on an annual purchase of around 50,000 tons of almost CO₂-free steel per year, which is to be used in various production models from mid of the decade. In 2022, In addition, we became the first passenger car manufacturer to receive steel from SSAB's hydrogen-based direct reduction. We intend to use almost CO₂-free steel from industrial production from 2026.</w:t>
      </w:r>
    </w:p>
    <w:p w14:paraId="704C21CD" w14:textId="77777777" w:rsidR="00422CB5" w:rsidRPr="00422CB5" w:rsidRDefault="00422CB5" w:rsidP="00422CB5">
      <w:r w:rsidRPr="00422CB5">
        <w:t>Aluminium, together with steel, is proportionally the most widely used material in many vehicles and is gaining in importance in electric vehicles. Therefore, we are also pursuing a clear roadmap of a carbon reduced aluminium supply chain – and have already reached important milestones.</w:t>
      </w:r>
    </w:p>
    <w:p w14:paraId="33B9965B" w14:textId="77777777" w:rsidR="00422CB5" w:rsidRPr="00422CB5" w:rsidRDefault="00422CB5" w:rsidP="00422CB5">
      <w:r w:rsidRPr="00422CB5">
        <w:lastRenderedPageBreak/>
        <w:t>In Europe, at least one third of the aluminium we use in our upcoming electric model generation is produced with renewable energy. Together with the Norwegian aluminium producer Hydro, we are going one step further and developing a technology roadmap to decarbonise the aluminium supply chain by 2030. Hydro is already supplying our foundry in Stuttgart Mettingen with CO₂-reduced aluminium. The strategic cooperation takes the collaboration to a new level: The first material from Norway with a CO₂ reduction of almost 70 percent compared to the European average and a scrap share of 25 percent has already been tested and has been used since 2023 in the series production of the EQS and EQE, among others. By 2030, we want to reduce the aluminium footprint with Hydro by more than 90 per cent with the help of new innovations. However, we are not only concerned with further reducing emissions. Another goal is to reduce the use of primary resources by increasing the use of secondary materials from post-consumer scrap.</w:t>
      </w:r>
    </w:p>
    <w:p w14:paraId="71C9F5A6" w14:textId="26952B3B" w:rsidR="00422CB5" w:rsidRPr="00422CB5" w:rsidRDefault="00422CB5" w:rsidP="00422CB5">
      <w:r w:rsidRPr="00422CB5">
        <w:rPr>
          <w:noProof/>
        </w:rPr>
        <w:drawing>
          <wp:inline distT="0" distB="0" distL="0" distR="0" wp14:anchorId="659BFBCC" wp14:editId="59047B1C">
            <wp:extent cx="5731510" cy="3223895"/>
            <wp:effectExtent l="0" t="0" r="2540" b="0"/>
            <wp:docPr id="334758736" name="Picture 5" descr="Low CO₂ aluminium at Mercedes-Be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Low CO₂ aluminium at Mercedes-Benz."/>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BE1E447" w14:textId="77777777" w:rsidR="00422CB5" w:rsidRPr="00422CB5" w:rsidRDefault="00422CB5" w:rsidP="00422CB5">
      <w:pPr>
        <w:rPr>
          <w:b/>
          <w:bCs/>
        </w:rPr>
      </w:pPr>
      <w:r w:rsidRPr="00422CB5">
        <w:rPr>
          <w:b/>
          <w:bCs/>
        </w:rPr>
        <w:t>Low CO₂ aluminium at Mercedes-Benz.</w:t>
      </w:r>
    </w:p>
    <w:p w14:paraId="53FF651D" w14:textId="77777777" w:rsidR="00422CB5" w:rsidRPr="00422CB5" w:rsidRDefault="00422CB5" w:rsidP="00422CB5">
      <w:pPr>
        <w:rPr>
          <w:b/>
          <w:bCs/>
        </w:rPr>
      </w:pPr>
      <w:r w:rsidRPr="00422CB5">
        <w:rPr>
          <w:b/>
          <w:bCs/>
        </w:rPr>
        <w:t>» Our recycling factory to close the battery loop:</w:t>
      </w:r>
    </w:p>
    <w:p w14:paraId="07D6E3FA" w14:textId="77777777" w:rsidR="00422CB5" w:rsidRPr="00422CB5" w:rsidRDefault="00422CB5" w:rsidP="00422CB5">
      <w:r w:rsidRPr="00422CB5">
        <w:t>As part of our holistic approach, we also think about the circular economy when developing battery technology. In October 2024, we opened a battery recycling factory based on hydrometallurgy at the Kuppenheim site. It covers all steps from dismantling at module level, through crushing and drying, to processing the material streams to battery quality. The process design enables recovery rates of more than 96 per cent. Mercedes-Benz is also cooperating with high-tech partners for battery recycling in China and the USA.</w:t>
      </w:r>
    </w:p>
    <w:p w14:paraId="59F4AA83" w14:textId="77777777" w:rsidR="00422CB5" w:rsidRPr="00422CB5" w:rsidRDefault="00422CB5" w:rsidP="00422CB5">
      <w:hyperlink r:id="rId15" w:tgtFrame="_self" w:history="1">
        <w:r w:rsidRPr="00422CB5">
          <w:rPr>
            <w:rStyle w:val="Hyperlink"/>
            <w:b/>
            <w:bCs/>
          </w:rPr>
          <w:t>More information about the battery circular economy.</w:t>
        </w:r>
      </w:hyperlink>
    </w:p>
    <w:p w14:paraId="1A3E4260" w14:textId="77777777" w:rsidR="00422CB5" w:rsidRPr="00422CB5" w:rsidRDefault="00422CB5" w:rsidP="00422CB5">
      <w:pPr>
        <w:rPr>
          <w:b/>
          <w:bCs/>
        </w:rPr>
      </w:pPr>
      <w:r w:rsidRPr="00422CB5">
        <w:rPr>
          <w:b/>
          <w:bCs/>
        </w:rPr>
        <w:lastRenderedPageBreak/>
        <w:t>» Extensive use of recycled materials</w:t>
      </w:r>
    </w:p>
    <w:p w14:paraId="61852E18" w14:textId="77777777" w:rsidR="00422CB5" w:rsidRPr="00422CB5" w:rsidRDefault="00422CB5" w:rsidP="00422CB5">
      <w:r w:rsidRPr="00422CB5">
        <w:t>We work intensively to close material loops and increase the proportion of recycled materials to conserve primary resources, avoid waste and thus also reduce CO₂ emissions. In Development we follow the “Design for Environment” approach: In the earliest stages of vehicle development, we reconsider the composition of all materials used and examine possibilities for more sustainable alternatives. In addition to steel and aluminium, innovative recyclates are already in use. The floor coverings in the EQS and EQE SUV contain a nylon yarn derived from recyclable materials such as fishing nets and carpets. For the EQE, EQE SUV and the S-Class, bow door handles made from chemically recycled materials are available. In their production, fossil raw materials are replaced by biomethane and pyrolysis oil from recycled used tyres in accordance with the mass balance approach. The S-Class also comes with a crash absorber based on this combination of raw materials. In the vehicle interior, in addition to a microfibre fleece that consists of up to 73 percent recycled material, we offer various fabrics made up to 100 per cent from recycled PET bottles. In the basic seat of the new E-Class, undyed alpaca wool combined with a recycled material is used for the upholstery. In the foam of the seats, certified recycled raw materials are used for the first time according to the “mass balance approach”, and their properties do not differ from those of raw materials produced from crude oil. In this way, the need for fossil resources can be reduced while maintaining product quality. Looking to the future, the aim is to progressively increase the use of this more sustainable recycled material, and also to use chemical recycling in combination with the biomass balance approach for further plastic vehicle parts.</w:t>
      </w:r>
    </w:p>
    <w:p w14:paraId="4D464B06" w14:textId="77777777" w:rsidR="00422CB5" w:rsidRPr="00422CB5" w:rsidRDefault="00422CB5" w:rsidP="00422CB5">
      <w:r w:rsidRPr="00422CB5">
        <w:t>A more sustainable mobility experience</w:t>
      </w:r>
    </w:p>
    <w:p w14:paraId="1CB90C22" w14:textId="77777777" w:rsidR="00422CB5" w:rsidRPr="00422CB5" w:rsidRDefault="00422CB5" w:rsidP="00422CB5">
      <w:pPr>
        <w:rPr>
          <w:b/>
          <w:bCs/>
        </w:rPr>
      </w:pPr>
      <w:r w:rsidRPr="00422CB5">
        <w:rPr>
          <w:b/>
          <w:bCs/>
        </w:rPr>
        <w:t>» Renewable Charging</w:t>
      </w:r>
      <w:r w:rsidRPr="00422CB5">
        <w:rPr>
          <w:b/>
          <w:bCs/>
          <w:vertAlign w:val="superscript"/>
        </w:rPr>
        <w:t>[2]</w:t>
      </w:r>
    </w:p>
    <w:p w14:paraId="02133DDC" w14:textId="77777777" w:rsidR="00422CB5" w:rsidRPr="00422CB5" w:rsidRDefault="00422CB5" w:rsidP="00422CB5">
      <w:r w:rsidRPr="00422CB5">
        <w:t>Around 50 percent of the CO₂ footprint of a battery-electric vehicle is produced during the use phase with the current EU energy mix, owing to charging processes that emit CO₂. Mercedes-Benz consistently relies on the use of electricity from renewable energies. Renewable Charging</w:t>
      </w:r>
      <w:r w:rsidRPr="00422CB5">
        <w:rPr>
          <w:vertAlign w:val="superscript"/>
        </w:rPr>
        <w:t>[2]</w:t>
      </w:r>
      <w:r w:rsidRPr="00422CB5">
        <w:t> is an integral part of MB.CHARGE Public in Europe, the USA, Canada and China.</w:t>
      </w:r>
    </w:p>
    <w:p w14:paraId="3738DBAB" w14:textId="77777777" w:rsidR="00422CB5" w:rsidRPr="00422CB5" w:rsidRDefault="00422CB5" w:rsidP="00422CB5">
      <w:pPr>
        <w:rPr>
          <w:b/>
          <w:bCs/>
        </w:rPr>
      </w:pPr>
      <w:r w:rsidRPr="00422CB5">
        <w:rPr>
          <w:b/>
          <w:bCs/>
        </w:rPr>
        <w:t>» Mercedes me Eco Coach</w:t>
      </w:r>
    </w:p>
    <w:p w14:paraId="1B4FF230" w14:textId="77777777" w:rsidR="00422CB5" w:rsidRPr="00422CB5" w:rsidRDefault="00422CB5" w:rsidP="00422CB5">
      <w:r w:rsidRPr="00422CB5">
        <w:t>To give customers special support when switching over to the age of electric mobility, we have developed an intelligent, digital personal trainer: the Mercedes me Eco Coach. Customers who follow the recommendations and hints in the app not only get to know their alternative-drive car better – they also improve their driving style and thereby protect the environment.</w:t>
      </w:r>
    </w:p>
    <w:p w14:paraId="650AD55B" w14:textId="77777777" w:rsidR="00422CB5" w:rsidRPr="00422CB5" w:rsidRDefault="00422CB5" w:rsidP="00422CB5">
      <w:r w:rsidRPr="00422CB5">
        <w:rPr>
          <w:i/>
          <w:iCs/>
        </w:rPr>
        <w:t>This article was last updated in April 2026.</w:t>
      </w:r>
    </w:p>
    <w:p w14:paraId="6B533EFD" w14:textId="77777777" w:rsidR="007E753F" w:rsidRDefault="007E753F" w:rsidP="007E753F">
      <w:pPr>
        <w:rPr>
          <w:b/>
          <w:bCs/>
        </w:rPr>
      </w:pPr>
      <w:r w:rsidRPr="007E753F">
        <w:rPr>
          <w:b/>
          <w:bCs/>
        </w:rPr>
        <w:lastRenderedPageBreak/>
        <w:t>RAG in 2025: 7 Proven Strategies to Deploy Retrieval-Augmented Generation at Scale</w:t>
      </w:r>
    </w:p>
    <w:p w14:paraId="318719A7" w14:textId="72A819AA" w:rsidR="007E753F" w:rsidRDefault="007E753F" w:rsidP="007E753F">
      <w:pPr>
        <w:rPr>
          <w:b/>
          <w:bCs/>
        </w:rPr>
      </w:pPr>
      <w:r>
        <w:rPr>
          <w:b/>
          <w:bCs/>
        </w:rPr>
        <w:t xml:space="preserve">Link: </w:t>
      </w:r>
      <w:hyperlink r:id="rId16" w:history="1">
        <w:r w:rsidR="00056A1E" w:rsidRPr="007B2E56">
          <w:rPr>
            <w:rStyle w:val="Hyperlink"/>
            <w:b/>
            <w:bCs/>
          </w:rPr>
          <w:t>https://medium.com/@aa779/rag-in-2025-7-proven-strategies-to-deploy-retrieval-augmented-generation-at-scale-d1f71dfbfbba</w:t>
        </w:r>
      </w:hyperlink>
    </w:p>
    <w:p w14:paraId="7F55AC53" w14:textId="1F973E0F" w:rsidR="007E753F" w:rsidRPr="007E753F" w:rsidRDefault="007E753F" w:rsidP="007E753F">
      <w:r w:rsidRPr="007E753F">
        <w:rPr>
          <w:noProof/>
        </w:rPr>
        <w:drawing>
          <wp:inline distT="0" distB="0" distL="0" distR="0" wp14:anchorId="13F78F9A" wp14:editId="646C08B7">
            <wp:extent cx="5731510" cy="3825240"/>
            <wp:effectExtent l="0" t="0" r="2540" b="3810"/>
            <wp:docPr id="12430964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14C0E983" w14:textId="77777777" w:rsidR="007E753F" w:rsidRPr="007E753F" w:rsidRDefault="007E753F" w:rsidP="007E753F">
      <w:r w:rsidRPr="007E753F">
        <w:t>In 2025, Retrieval-Augmented Generation (RAG) is rapidly evolving beyond text-only applications, with multimodal solutions like </w:t>
      </w:r>
      <w:hyperlink r:id="rId18" w:tgtFrame="_blank" w:history="1">
        <w:r w:rsidRPr="007E753F">
          <w:rPr>
            <w:rStyle w:val="Hyperlink"/>
          </w:rPr>
          <w:t>Morphik's</w:t>
        </w:r>
      </w:hyperlink>
      <w:r w:rsidRPr="007E753F">
        <w:t> leading the charge in how enterprises interact with their most complex data. As generative AI shifts from a novel technology to a core business driver, RAG has become a board-level priority for data-intensive enterprises seeking to ground AI-driven insights in verifiable fact, not fiction.</w:t>
      </w:r>
    </w:p>
    <w:p w14:paraId="47CAF5B8" w14:textId="77777777" w:rsidR="007E753F" w:rsidRPr="007E753F" w:rsidRDefault="007E753F" w:rsidP="007E753F">
      <w:r w:rsidRPr="007E753F">
        <w:t>The market reflects this urgency, with the global RAG market size projected to be </w:t>
      </w:r>
      <w:r w:rsidRPr="007E753F">
        <w:rPr>
          <w:b/>
          <w:bCs/>
        </w:rPr>
        <w:t>$1.85 billion in 2025, growing at a compound annual growth rate (CAGR) of 49.12%</w:t>
      </w:r>
      <w:r w:rsidRPr="007E753F">
        <w:t>. For organizations drowning in a deluge of technical documents, financial reports, and unstructured data, RAG offers a direct path to accurate, trustworthy, and scalable AI. This article delivers seven field-tested strategies for deploying RAG at scale, complete with KPI guidance and an open-source reference stack to accelerate your journey from prototype to production.</w:t>
      </w:r>
    </w:p>
    <w:p w14:paraId="50417759" w14:textId="77777777" w:rsidR="007E753F" w:rsidRPr="007E753F" w:rsidRDefault="007E753F" w:rsidP="007E753F">
      <w:pPr>
        <w:rPr>
          <w:b/>
          <w:bCs/>
        </w:rPr>
      </w:pPr>
      <w:r w:rsidRPr="007E753F">
        <w:rPr>
          <w:b/>
          <w:bCs/>
        </w:rPr>
        <w:t>What Is Retrieval-Augmented Generation?</w:t>
      </w:r>
    </w:p>
    <w:p w14:paraId="7A8C738F" w14:textId="77777777" w:rsidR="007E753F" w:rsidRPr="007E753F" w:rsidRDefault="007E753F" w:rsidP="007E753F">
      <w:r w:rsidRPr="007E753F">
        <w:t>Retrieval-Augmented Generation is a workflow that injects external documents into large-language-model (LLM) prompts to produce source-backed answers. This process of </w:t>
      </w:r>
      <w:r w:rsidRPr="007E753F">
        <w:rPr>
          <w:b/>
          <w:bCs/>
        </w:rPr>
        <w:t>real-time grounding</w:t>
      </w:r>
      <w:r w:rsidRPr="007E753F">
        <w:t xml:space="preserve"> connects the generative power of LLMs to an organization's </w:t>
      </w:r>
      <w:r w:rsidRPr="007E753F">
        <w:lastRenderedPageBreak/>
        <w:t>private, domain-specific knowledge. At its core, an </w:t>
      </w:r>
      <w:r w:rsidRPr="007E753F">
        <w:rPr>
          <w:b/>
          <w:bCs/>
        </w:rPr>
        <w:t>open-source RAG</w:t>
      </w:r>
      <w:r w:rsidRPr="007E753F">
        <w:t> pipeline retrieves relevant data chunks from a </w:t>
      </w:r>
      <w:r w:rsidRPr="007E753F">
        <w:rPr>
          <w:b/>
          <w:bCs/>
        </w:rPr>
        <w:t>vector database</w:t>
      </w:r>
      <w:r w:rsidRPr="007E753F">
        <w:t> and provides them as context to an LLM. Morphik is pioneering the next wave with its text-plus-image retrieval capabilities, ensuring that context locked away in visuals is not lost. This allows enterprises to tap into a wide array of data sources, from PDFs and knowledge bases to complex engineering drawings and files in cloud object stores.</w:t>
      </w:r>
    </w:p>
    <w:p w14:paraId="793A3A2B" w14:textId="77777777" w:rsidR="007E753F" w:rsidRPr="007E753F" w:rsidRDefault="007E753F" w:rsidP="007E753F">
      <w:pPr>
        <w:rPr>
          <w:b/>
          <w:bCs/>
        </w:rPr>
      </w:pPr>
      <w:r w:rsidRPr="007E753F">
        <w:rPr>
          <w:b/>
          <w:bCs/>
        </w:rPr>
        <w:t>How Retrieval Grounds Large Language Models</w:t>
      </w:r>
    </w:p>
    <w:p w14:paraId="49D68253" w14:textId="77777777" w:rsidR="007E753F" w:rsidRPr="007E753F" w:rsidRDefault="007E753F" w:rsidP="007E753F">
      <w:r w:rsidRPr="007E753F">
        <w:t>Grounding is the process of anchoring model outputs to verifiable documents, drastically reducing hallucinations (fabricated or unsupported statements). By providing a source of truth directly within the prompt, the LLM is constrained to generate responses based on the supplied context rather than relying solely on its internal training data.</w:t>
      </w:r>
    </w:p>
    <w:p w14:paraId="455289FC" w14:textId="77777777" w:rsidR="007E753F" w:rsidRPr="007E753F" w:rsidRDefault="007E753F" w:rsidP="007E753F">
      <w:r w:rsidRPr="007E753F">
        <w:t>Here's a simple comparison:</w:t>
      </w:r>
    </w:p>
    <w:p w14:paraId="0A846E9A" w14:textId="77777777" w:rsidR="007E753F" w:rsidRPr="007E753F" w:rsidRDefault="007E753F" w:rsidP="007E753F">
      <w:r w:rsidRPr="007E753F">
        <w:rPr>
          <w:b/>
          <w:bCs/>
        </w:rPr>
        <w:t>Without RAG (Potential Hallucination):</w:t>
      </w:r>
    </w:p>
    <w:p w14:paraId="1593CC8F" w14:textId="77777777" w:rsidR="007E753F" w:rsidRPr="007E753F" w:rsidRDefault="007E753F" w:rsidP="007E753F">
      <w:pPr>
        <w:rPr>
          <w:i/>
          <w:iCs/>
        </w:rPr>
      </w:pPr>
      <w:r w:rsidRPr="007E753F">
        <w:rPr>
          <w:i/>
          <w:iCs/>
        </w:rPr>
        <w:t>Query:</w:t>
      </w:r>
      <w:r w:rsidRPr="007E753F">
        <w:t> What is the specified torque for the HX-5 fastener?</w:t>
      </w:r>
    </w:p>
    <w:p w14:paraId="621B4FC8" w14:textId="77777777" w:rsidR="007E753F" w:rsidRPr="007E753F" w:rsidRDefault="007E753F" w:rsidP="007E753F">
      <w:pPr>
        <w:rPr>
          <w:i/>
          <w:iCs/>
        </w:rPr>
      </w:pPr>
      <w:r w:rsidRPr="007E753F">
        <w:rPr>
          <w:i/>
          <w:iCs/>
        </w:rPr>
        <w:t>Answer:</w:t>
      </w:r>
      <w:r w:rsidRPr="007E753F">
        <w:t> The specified torque for the HX-5 fastener is 15 Nm.</w:t>
      </w:r>
    </w:p>
    <w:p w14:paraId="4CD09096" w14:textId="77777777" w:rsidR="007E753F" w:rsidRPr="007E753F" w:rsidRDefault="007E753F" w:rsidP="007E753F">
      <w:r w:rsidRPr="007E753F">
        <w:rPr>
          <w:b/>
          <w:bCs/>
        </w:rPr>
        <w:t>With RAG (Grounded Answer):</w:t>
      </w:r>
    </w:p>
    <w:p w14:paraId="784797AA" w14:textId="77777777" w:rsidR="007E753F" w:rsidRPr="007E753F" w:rsidRDefault="007E753F" w:rsidP="007E753F">
      <w:pPr>
        <w:rPr>
          <w:i/>
          <w:iCs/>
        </w:rPr>
      </w:pPr>
      <w:r w:rsidRPr="007E753F">
        <w:rPr>
          <w:i/>
          <w:iCs/>
        </w:rPr>
        <w:t>Query:</w:t>
      </w:r>
      <w:r w:rsidRPr="007E753F">
        <w:t> What is the specified torque for the HX-5 fastener?</w:t>
      </w:r>
    </w:p>
    <w:p w14:paraId="6D925868" w14:textId="77777777" w:rsidR="007E753F" w:rsidRPr="007E753F" w:rsidRDefault="007E753F" w:rsidP="007E753F">
      <w:pPr>
        <w:rPr>
          <w:i/>
          <w:iCs/>
        </w:rPr>
      </w:pPr>
      <w:r w:rsidRPr="007E753F">
        <w:rPr>
          <w:i/>
          <w:iCs/>
        </w:rPr>
        <w:t>Answer:</w:t>
      </w:r>
      <w:r w:rsidRPr="007E753F">
        <w:t> According to document </w:t>
      </w:r>
      <w:r w:rsidRPr="007E753F">
        <w:rPr>
          <w:i/>
          <w:iCs/>
        </w:rPr>
        <w:t>'Assembly-Guide-v3.2.pdf', page 12, diagram 4a</w:t>
      </w:r>
      <w:r w:rsidRPr="007E753F">
        <w:t>, the specified torque for the HX-5 fastener is 12.5 Nm.</w:t>
      </w:r>
    </w:p>
    <w:p w14:paraId="22566D2B" w14:textId="77777777" w:rsidR="007E753F" w:rsidRPr="007E753F" w:rsidRDefault="007E753F" w:rsidP="007E753F">
      <w:pPr>
        <w:rPr>
          <w:b/>
          <w:bCs/>
        </w:rPr>
      </w:pPr>
      <w:r w:rsidRPr="007E753F">
        <w:rPr>
          <w:b/>
          <w:bCs/>
        </w:rPr>
        <w:t>Retriever, Ranker, and Generator Components Explained</w:t>
      </w:r>
    </w:p>
    <w:p w14:paraId="68A6C6F0" w14:textId="77777777" w:rsidR="007E753F" w:rsidRPr="007E753F" w:rsidRDefault="007E753F" w:rsidP="007E753F">
      <w:r w:rsidRPr="007E753F">
        <w:t>A RAG pipeline consists of three primary stages that work in concert to deliver accurate, low-latency answers.</w:t>
      </w:r>
    </w:p>
    <w:p w14:paraId="612AC77E" w14:textId="77777777" w:rsidR="007E753F" w:rsidRPr="007E753F" w:rsidRDefault="007E753F" w:rsidP="007E753F">
      <w:pPr>
        <w:numPr>
          <w:ilvl w:val="0"/>
          <w:numId w:val="1"/>
        </w:numPr>
      </w:pPr>
      <w:r w:rsidRPr="007E753F">
        <w:rPr>
          <w:b/>
          <w:bCs/>
        </w:rPr>
        <w:t>Component:</w:t>
      </w:r>
      <w:r w:rsidRPr="007E753F">
        <w:t> </w:t>
      </w:r>
      <w:r w:rsidRPr="007E753F">
        <w:rPr>
          <w:b/>
          <w:bCs/>
        </w:rPr>
        <w:t>Retriever</w:t>
      </w:r>
      <w:r w:rsidRPr="007E753F">
        <w:br/>
      </w:r>
      <w:r w:rsidRPr="007E753F">
        <w:rPr>
          <w:b/>
          <w:bCs/>
        </w:rPr>
        <w:t>Purpose:</w:t>
      </w:r>
      <w:r w:rsidRPr="007E753F">
        <w:t> Fetches the most relevant documents from the knowledge base.</w:t>
      </w:r>
      <w:r w:rsidRPr="007E753F">
        <w:br/>
      </w:r>
      <w:r w:rsidRPr="007E753F">
        <w:rPr>
          <w:b/>
          <w:bCs/>
        </w:rPr>
        <w:t>Common Algorithms</w:t>
      </w:r>
      <w:r w:rsidRPr="007E753F">
        <w:t>: Dense (Embeddings), Sparse (</w:t>
      </w:r>
      <w:r w:rsidRPr="007E753F">
        <w:rPr>
          <w:b/>
          <w:bCs/>
        </w:rPr>
        <w:t>BM25</w:t>
      </w:r>
      <w:r w:rsidRPr="007E753F">
        <w:t>), Hybrid</w:t>
      </w:r>
      <w:r w:rsidRPr="007E753F">
        <w:br/>
      </w:r>
      <w:r w:rsidRPr="007E753F">
        <w:rPr>
          <w:b/>
          <w:bCs/>
        </w:rPr>
        <w:t>Latency Impact: </w:t>
      </w:r>
      <w:r w:rsidRPr="007E753F">
        <w:t>High (Database lookup)</w:t>
      </w:r>
    </w:p>
    <w:p w14:paraId="4134129A" w14:textId="77777777" w:rsidR="007E753F" w:rsidRPr="007E753F" w:rsidRDefault="007E753F" w:rsidP="007E753F">
      <w:pPr>
        <w:numPr>
          <w:ilvl w:val="0"/>
          <w:numId w:val="1"/>
        </w:numPr>
      </w:pPr>
      <w:r w:rsidRPr="007E753F">
        <w:rPr>
          <w:b/>
          <w:bCs/>
        </w:rPr>
        <w:t>Component:</w:t>
      </w:r>
      <w:r w:rsidRPr="007E753F">
        <w:t> </w:t>
      </w:r>
      <w:r w:rsidRPr="007E753F">
        <w:rPr>
          <w:b/>
          <w:bCs/>
        </w:rPr>
        <w:t>Ranker</w:t>
      </w:r>
      <w:r w:rsidRPr="007E753F">
        <w:br/>
      </w:r>
      <w:r w:rsidRPr="007E753F">
        <w:rPr>
          <w:b/>
          <w:bCs/>
        </w:rPr>
        <w:t>Purpose:</w:t>
      </w:r>
      <w:r w:rsidRPr="007E753F">
        <w:t> Re-orders retrieved documents for relevance before passing to the LLM.</w:t>
      </w:r>
      <w:r w:rsidRPr="007E753F">
        <w:br/>
      </w:r>
      <w:r w:rsidRPr="007E753F">
        <w:rPr>
          <w:b/>
          <w:bCs/>
        </w:rPr>
        <w:t>Common Algorithms</w:t>
      </w:r>
      <w:r w:rsidRPr="007E753F">
        <w:t>: Cross-encoder, Metadata Filters</w:t>
      </w:r>
      <w:r w:rsidRPr="007E753F">
        <w:br/>
      </w:r>
      <w:r w:rsidRPr="007E753F">
        <w:rPr>
          <w:b/>
          <w:bCs/>
        </w:rPr>
        <w:t>Latency Impact: </w:t>
      </w:r>
      <w:r w:rsidRPr="007E753F">
        <w:t>Medium</w:t>
      </w:r>
    </w:p>
    <w:p w14:paraId="05BA7205" w14:textId="77777777" w:rsidR="007E753F" w:rsidRPr="007E753F" w:rsidRDefault="007E753F" w:rsidP="007E753F">
      <w:pPr>
        <w:numPr>
          <w:ilvl w:val="0"/>
          <w:numId w:val="1"/>
        </w:numPr>
      </w:pPr>
      <w:r w:rsidRPr="007E753F">
        <w:rPr>
          <w:b/>
          <w:bCs/>
        </w:rPr>
        <w:t>Component:</w:t>
      </w:r>
      <w:r w:rsidRPr="007E753F">
        <w:t> Generator</w:t>
      </w:r>
      <w:r w:rsidRPr="007E753F">
        <w:br/>
      </w:r>
      <w:r w:rsidRPr="007E753F">
        <w:rPr>
          <w:b/>
          <w:bCs/>
        </w:rPr>
        <w:t>Purpose:</w:t>
      </w:r>
      <w:r w:rsidRPr="007E753F">
        <w:t> Synthesizes a final, human-readable answer using the ranked context.</w:t>
      </w:r>
      <w:r w:rsidRPr="007E753F">
        <w:br/>
      </w:r>
      <w:r w:rsidRPr="007E753F">
        <w:rPr>
          <w:b/>
          <w:bCs/>
        </w:rPr>
        <w:lastRenderedPageBreak/>
        <w:t>Common Algorithms</w:t>
      </w:r>
      <w:r w:rsidRPr="007E753F">
        <w:t>: Large Language Model (e.g., GPT-4, Llama 3), Diffusion</w:t>
      </w:r>
      <w:r w:rsidRPr="007E753F">
        <w:br/>
      </w:r>
      <w:r w:rsidRPr="007E753F">
        <w:rPr>
          <w:b/>
          <w:bCs/>
        </w:rPr>
        <w:t>Latency Impact: </w:t>
      </w:r>
      <w:r w:rsidRPr="007E753F">
        <w:t>Medium to High</w:t>
      </w:r>
    </w:p>
    <w:p w14:paraId="5CB4D5A6" w14:textId="77777777" w:rsidR="007E753F" w:rsidRPr="007E753F" w:rsidRDefault="007E753F" w:rsidP="007E753F">
      <w:r w:rsidRPr="007E753F">
        <w:rPr>
          <w:b/>
          <w:bCs/>
        </w:rPr>
        <w:t>Unfamiliar Terms Defined:</w:t>
      </w:r>
    </w:p>
    <w:p w14:paraId="2075251D" w14:textId="77777777" w:rsidR="007E753F" w:rsidRPr="007E753F" w:rsidRDefault="007E753F" w:rsidP="007E753F">
      <w:pPr>
        <w:numPr>
          <w:ilvl w:val="0"/>
          <w:numId w:val="2"/>
        </w:numPr>
      </w:pPr>
      <w:r w:rsidRPr="007E753F">
        <w:rPr>
          <w:b/>
          <w:bCs/>
        </w:rPr>
        <w:t>BM25:</w:t>
      </w:r>
      <w:r w:rsidRPr="007E753F">
        <w:t> A keyword-based ranking algorithm that scores text relevance using term frequency (how often a word appears) and document length.</w:t>
      </w:r>
    </w:p>
    <w:p w14:paraId="491D7AEA" w14:textId="77777777" w:rsidR="007E753F" w:rsidRPr="007E753F" w:rsidRDefault="007E753F" w:rsidP="007E753F">
      <w:pPr>
        <w:numPr>
          <w:ilvl w:val="0"/>
          <w:numId w:val="2"/>
        </w:numPr>
      </w:pPr>
      <w:r w:rsidRPr="007E753F">
        <w:rPr>
          <w:b/>
          <w:bCs/>
        </w:rPr>
        <w:t>Cross-encoder:</w:t>
      </w:r>
      <w:r w:rsidRPr="007E753F">
        <w:t> A neural model that scores query-document pairs jointly, offering higher accuracy than standard retrievers by examining both the query and the document simultaneously.</w:t>
      </w:r>
    </w:p>
    <w:p w14:paraId="0B013163" w14:textId="77777777" w:rsidR="007E753F" w:rsidRPr="007E753F" w:rsidRDefault="007E753F" w:rsidP="007E753F">
      <w:pPr>
        <w:rPr>
          <w:b/>
          <w:bCs/>
        </w:rPr>
      </w:pPr>
      <w:r w:rsidRPr="007E753F">
        <w:rPr>
          <w:b/>
          <w:bCs/>
        </w:rPr>
        <w:t>Why RAG Matters for Enterprise AI</w:t>
      </w:r>
    </w:p>
    <w:p w14:paraId="47D0564A" w14:textId="77777777" w:rsidR="007E753F" w:rsidRPr="007E753F" w:rsidRDefault="007E753F" w:rsidP="007E753F">
      <w:r w:rsidRPr="007E753F">
        <w:t>RAG directly addresses core enterprise pain points of compliance, accuracy, and scaling by enabling </w:t>
      </w:r>
      <w:r w:rsidRPr="007E753F">
        <w:rPr>
          <w:b/>
          <w:bCs/>
        </w:rPr>
        <w:t>hallucination mitigation</w:t>
      </w:r>
      <w:r w:rsidRPr="007E753F">
        <w:t>, verifiable </w:t>
      </w:r>
      <w:r w:rsidRPr="007E753F">
        <w:rPr>
          <w:b/>
          <w:bCs/>
        </w:rPr>
        <w:t>provenance tracking</w:t>
      </w:r>
      <w:r w:rsidRPr="007E753F">
        <w:t>, and significant </w:t>
      </w:r>
      <w:r w:rsidRPr="007E753F">
        <w:rPr>
          <w:b/>
          <w:bCs/>
        </w:rPr>
        <w:t>cost optimization</w:t>
      </w:r>
      <w:r w:rsidRPr="007E753F">
        <w:t>.</w:t>
      </w:r>
    </w:p>
    <w:p w14:paraId="1E8B3EFC" w14:textId="77777777" w:rsidR="007E753F" w:rsidRPr="007E753F" w:rsidRDefault="007E753F" w:rsidP="007E753F">
      <w:pPr>
        <w:rPr>
          <w:b/>
          <w:bCs/>
        </w:rPr>
      </w:pPr>
      <w:r w:rsidRPr="007E753F">
        <w:rPr>
          <w:b/>
          <w:bCs/>
        </w:rPr>
        <w:t>Reducing Hallucinations and Ensuring Provenance</w:t>
      </w:r>
    </w:p>
    <w:p w14:paraId="5EFC04D0" w14:textId="77777777" w:rsidR="007E753F" w:rsidRPr="007E753F" w:rsidRDefault="007E753F" w:rsidP="007E753F">
      <w:r w:rsidRPr="007E753F">
        <w:t>By design, RAG provides built-in citability. Every generated answer can be traced back to the specific source documents—and even the specific page or section—used to create it. This builds user trust and is critical for regulated industries where auditability is non-negotiable. Morphik enhances this by enabling </w:t>
      </w:r>
      <w:r w:rsidRPr="007E753F">
        <w:rPr>
          <w:b/>
          <w:bCs/>
        </w:rPr>
        <w:t>region-based indexing</w:t>
      </w:r>
      <w:r w:rsidRPr="007E753F">
        <w:t> for diagrams and tables, allowing the system to cite not just a page, but the precise visual element containing the answer.</w:t>
      </w:r>
    </w:p>
    <w:p w14:paraId="05519368" w14:textId="77777777" w:rsidR="007E753F" w:rsidRPr="007E753F" w:rsidRDefault="007E753F" w:rsidP="007E753F">
      <w:pPr>
        <w:rPr>
          <w:b/>
          <w:bCs/>
        </w:rPr>
      </w:pPr>
      <w:r w:rsidRPr="007E753F">
        <w:rPr>
          <w:b/>
          <w:bCs/>
        </w:rPr>
        <w:t>Lowering Fine-Tuning Costs With Just-in-Time Context</w:t>
      </w:r>
    </w:p>
    <w:p w14:paraId="2590A937" w14:textId="77777777" w:rsidR="007E753F" w:rsidRPr="007E753F" w:rsidRDefault="007E753F" w:rsidP="007E753F">
      <w:r w:rsidRPr="007E753F">
        <w:t>Keeping an LLM current with new information traditionally requires expensive fine-tuning. RAG offers a more efficient alternative by externalizing knowledge. Instead of retraining a model on new documents, you simply embed them into your vector store. For dynamic knowledge bases, </w:t>
      </w:r>
      <w:r w:rsidRPr="007E753F">
        <w:rPr>
          <w:b/>
          <w:bCs/>
        </w:rPr>
        <w:t>RAG can cut fine-tuning spend by 60-80%</w:t>
      </w:r>
      <w:r w:rsidRPr="007E753F">
        <w:t>, making it a far more scalable and cost-effective solution for keeping AI applications up-to-date.</w:t>
      </w:r>
    </w:p>
    <w:p w14:paraId="39B871CE" w14:textId="77777777" w:rsidR="007E753F" w:rsidRPr="007E753F" w:rsidRDefault="007E753F" w:rsidP="007E753F">
      <w:pPr>
        <w:rPr>
          <w:b/>
          <w:bCs/>
        </w:rPr>
      </w:pPr>
      <w:r w:rsidRPr="007E753F">
        <w:rPr>
          <w:b/>
          <w:bCs/>
        </w:rPr>
        <w:t>Enabling Multimodal Intelligence From Text and Images</w:t>
      </w:r>
    </w:p>
    <w:p w14:paraId="73F2C8F8" w14:textId="77777777" w:rsidR="007E753F" w:rsidRPr="007E753F" w:rsidRDefault="007E753F" w:rsidP="007E753F">
      <w:r w:rsidRPr="007E753F">
        <w:t>Enterprise knowledge isn't just text; it's locked in diagrams, charts, and schematics. </w:t>
      </w:r>
      <w:r w:rsidRPr="007E753F">
        <w:rPr>
          <w:b/>
          <w:bCs/>
        </w:rPr>
        <w:t>Multimodal</w:t>
      </w:r>
      <w:r w:rsidRPr="007E753F">
        <w:t> RAG—processing and combining multiple data types like text, images, and diagrams within one AI workflow—unlocks this trapped value.</w:t>
      </w:r>
    </w:p>
    <w:p w14:paraId="4414C9D4" w14:textId="77777777" w:rsidR="007E753F" w:rsidRPr="007E753F" w:rsidRDefault="007E753F" w:rsidP="007E753F">
      <w:r w:rsidRPr="007E753F">
        <w:t>Key use cases include:</w:t>
      </w:r>
    </w:p>
    <w:p w14:paraId="6C8FAE0B" w14:textId="77777777" w:rsidR="007E753F" w:rsidRPr="007E753F" w:rsidRDefault="007E753F" w:rsidP="007E753F">
      <w:pPr>
        <w:numPr>
          <w:ilvl w:val="0"/>
          <w:numId w:val="3"/>
        </w:numPr>
      </w:pPr>
      <w:r w:rsidRPr="007E753F">
        <w:rPr>
          <w:b/>
          <w:bCs/>
        </w:rPr>
        <w:t>Defect Detection:</w:t>
      </w:r>
      <w:r w:rsidRPr="007E753F">
        <w:t> Visually searching a database of component images to find matching manufacturing flaws.</w:t>
      </w:r>
    </w:p>
    <w:p w14:paraId="5F14C8A4" w14:textId="77777777" w:rsidR="007E753F" w:rsidRPr="007E753F" w:rsidRDefault="007E753F" w:rsidP="007E753F">
      <w:pPr>
        <w:numPr>
          <w:ilvl w:val="0"/>
          <w:numId w:val="3"/>
        </w:numPr>
      </w:pPr>
      <w:r w:rsidRPr="007E753F">
        <w:rPr>
          <w:b/>
          <w:bCs/>
        </w:rPr>
        <w:lastRenderedPageBreak/>
        <w:t>Engineering Q&amp;A:</w:t>
      </w:r>
      <w:r w:rsidRPr="007E753F">
        <w:t> Asking questions about a schematic (e.g., "What is the voltage tolerance for the component connected to pin 7?") and getting answers from the drawing itself.</w:t>
      </w:r>
    </w:p>
    <w:p w14:paraId="3B62241B" w14:textId="77777777" w:rsidR="007E753F" w:rsidRPr="007E753F" w:rsidRDefault="007E753F" w:rsidP="007E753F">
      <w:pPr>
        <w:numPr>
          <w:ilvl w:val="0"/>
          <w:numId w:val="3"/>
        </w:numPr>
      </w:pPr>
      <w:r w:rsidRPr="007E753F">
        <w:rPr>
          <w:b/>
          <w:bCs/>
        </w:rPr>
        <w:t>Clinical Imaging Search:</w:t>
      </w:r>
      <w:r w:rsidRPr="007E753F">
        <w:t> Retrieving medical images that exhibit similar visual patterns to a sample scan.</w:t>
      </w:r>
    </w:p>
    <w:p w14:paraId="3F0FE232" w14:textId="77777777" w:rsidR="007E753F" w:rsidRPr="007E753F" w:rsidRDefault="007E753F" w:rsidP="007E753F">
      <w:pPr>
        <w:rPr>
          <w:b/>
          <w:bCs/>
        </w:rPr>
      </w:pPr>
      <w:r w:rsidRPr="007E753F">
        <w:rPr>
          <w:b/>
          <w:bCs/>
        </w:rPr>
        <w:t>Seven Proven Strategies to Deploy RAG at Scale</w:t>
      </w:r>
    </w:p>
    <w:p w14:paraId="5F656F74" w14:textId="77777777" w:rsidR="007E753F" w:rsidRPr="007E753F" w:rsidRDefault="007E753F" w:rsidP="007E753F">
      <w:r w:rsidRPr="007E753F">
        <w:t>Use the following seven tactics to harden RAG for production workloads and deliver enterprise-grade performance, security, and reliability.</w:t>
      </w:r>
    </w:p>
    <w:p w14:paraId="5171A66E" w14:textId="77777777" w:rsidR="007E753F" w:rsidRPr="007E753F" w:rsidRDefault="007E753F" w:rsidP="007E753F">
      <w:pPr>
        <w:rPr>
          <w:b/>
          <w:bCs/>
        </w:rPr>
      </w:pPr>
      <w:r w:rsidRPr="007E753F">
        <w:rPr>
          <w:b/>
          <w:bCs/>
        </w:rPr>
        <w:t>1 — Adopt Hybrid Retrieval (Keyword + Vector) for Recall and Precision</w:t>
      </w:r>
    </w:p>
    <w:p w14:paraId="100ABC61" w14:textId="77777777" w:rsidR="007E753F" w:rsidRPr="007E753F" w:rsidRDefault="007E753F" w:rsidP="007E753F">
      <w:r w:rsidRPr="007E753F">
        <w:t>Don't choose between keyword and semantic search—blend them. Keyword-based algorithms like BM25 excel at finding exact matches for jargon, product codes, or acronyms. Dense vector search excels at understanding conceptual intent. For optimal recall (finding all relevant documents) and precision (ensuring they are truly relevant), combine both. This is often achieved through </w:t>
      </w:r>
      <w:r w:rsidRPr="007E753F">
        <w:rPr>
          <w:b/>
          <w:bCs/>
        </w:rPr>
        <w:t>semantic fusion</w:t>
      </w:r>
      <w:r w:rsidRPr="007E753F">
        <w:t>, a technique that intelligently merges the relevance scores from both retrievers to produce a superior final ranking.</w:t>
      </w:r>
    </w:p>
    <w:p w14:paraId="06E996BB" w14:textId="77777777" w:rsidR="007E753F" w:rsidRPr="007E753F" w:rsidRDefault="007E753F" w:rsidP="007E753F">
      <w:pPr>
        <w:rPr>
          <w:b/>
          <w:bCs/>
        </w:rPr>
      </w:pPr>
      <w:r w:rsidRPr="007E753F">
        <w:rPr>
          <w:b/>
          <w:bCs/>
        </w:rPr>
        <w:t>2 — Chunk Smart: Domain-Aware Text and Image Region Splitting</w:t>
      </w:r>
    </w:p>
    <w:p w14:paraId="4A482DF8" w14:textId="77777777" w:rsidR="007E753F" w:rsidRPr="007E753F" w:rsidRDefault="007E753F" w:rsidP="007E753F">
      <w:r w:rsidRPr="007E753F">
        <w:t>How you split documents into manageable chunks is critical. A one-size-fits-all approach fails at scale. For dense legal patents, smaller, more granular chunks may be best. For conversational chat logs, larger chunks that preserve conversational context are superior. Use rule-based chunkers for structured documents and ML-based chunkers for highly variable content. For visual data, Morphik's </w:t>
      </w:r>
      <w:r w:rsidRPr="007E753F">
        <w:rPr>
          <w:b/>
          <w:bCs/>
        </w:rPr>
        <w:t>region-snap technique</w:t>
      </w:r>
      <w:r w:rsidRPr="007E753F">
        <w:t> for diagrams automatically identifies and isolates meaningful sections of an image, ensuring that retrieval is focused on the most relevant visual details.</w:t>
      </w:r>
    </w:p>
    <w:p w14:paraId="4E18591C" w14:textId="77777777" w:rsidR="007E753F" w:rsidRPr="007E753F" w:rsidRDefault="007E753F" w:rsidP="007E753F">
      <w:pPr>
        <w:rPr>
          <w:b/>
          <w:bCs/>
        </w:rPr>
      </w:pPr>
      <w:r w:rsidRPr="007E753F">
        <w:rPr>
          <w:b/>
          <w:bCs/>
        </w:rPr>
        <w:t>3 — Use Metadata-Aware Ranking to Prioritize High-Trust Sources</w:t>
      </w:r>
    </w:p>
    <w:p w14:paraId="171F7518" w14:textId="77777777" w:rsidR="007E753F" w:rsidRPr="007E753F" w:rsidRDefault="007E753F" w:rsidP="007E753F">
      <w:r w:rsidRPr="007E753F">
        <w:t>Not all information is created equal. Attach metadata—such as document age, author, source, or regulatory approval status—to your chunks. During the ranking phase, use this metadata to apply confidence weights, boosting documents from high-trust sources. This ensures that when multiple documents have similar content, the most authoritative one is prioritized.</w:t>
      </w:r>
    </w:p>
    <w:p w14:paraId="2CDBDF1B" w14:textId="26B9EDE8" w:rsidR="007E753F" w:rsidRPr="007E753F" w:rsidRDefault="007E753F" w:rsidP="007E753F">
      <w:r w:rsidRPr="007E753F">
        <w:rPr>
          <w:noProof/>
        </w:rPr>
        <mc:AlternateContent>
          <mc:Choice Requires="wps">
            <w:drawing>
              <wp:inline distT="0" distB="0" distL="0" distR="0" wp14:anchorId="1B4CC5F6" wp14:editId="336AE402">
                <wp:extent cx="304800" cy="304800"/>
                <wp:effectExtent l="0" t="0" r="0" b="0"/>
                <wp:docPr id="1690253893" name="Rectangle 12" descr="Subscribe to the Medium newsletter">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8A863" id="Rectangle 12" o:spid="_x0000_s1026" alt="Subscribe to the Medium newsletter" href="https://medium.com/blog/newsletter?source=promotion_paragraph---post_body_banner_beneficial_intelligence_nl--d1f71dfbfbb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A0AC9EE" w14:textId="77777777" w:rsidR="007E753F" w:rsidRPr="007E753F" w:rsidRDefault="007E753F" w:rsidP="007E753F">
      <w:r w:rsidRPr="007E753F">
        <w:rPr>
          <w:b/>
          <w:bCs/>
        </w:rPr>
        <w:t>Inline JSON Example of Metadata Scoring:</w:t>
      </w:r>
    </w:p>
    <w:p w14:paraId="5AF16F00" w14:textId="77777777" w:rsidR="007E753F" w:rsidRPr="007E753F" w:rsidRDefault="007E753F" w:rsidP="007E753F">
      <w:r w:rsidRPr="007E753F">
        <w:t>{</w:t>
      </w:r>
      <w:r w:rsidRPr="007E753F">
        <w:br/>
        <w:t xml:space="preserve">  "query": "quarterly revenue",</w:t>
      </w:r>
      <w:r w:rsidRPr="007E753F">
        <w:br/>
        <w:t xml:space="preserve">  "results": [</w:t>
      </w:r>
      <w:r w:rsidRPr="007E753F">
        <w:br/>
      </w:r>
      <w:r w:rsidRPr="007E753F">
        <w:lastRenderedPageBreak/>
        <w:t xml:space="preserve">    {</w:t>
      </w:r>
      <w:r w:rsidRPr="007E753F">
        <w:br/>
        <w:t xml:space="preserve">      "doc_id": "doc_123",</w:t>
      </w:r>
      <w:r w:rsidRPr="007E753F">
        <w:br/>
        <w:t xml:space="preserve">      "content": "...",</w:t>
      </w:r>
      <w:r w:rsidRPr="007E753F">
        <w:br/>
        <w:t xml:space="preserve">      "metadata": { "source": "SEC Filing", "date": "2025-05-15" },</w:t>
      </w:r>
      <w:r w:rsidRPr="007E753F">
        <w:br/>
        <w:t xml:space="preserve">      "final_score": 0.95</w:t>
      </w:r>
      <w:r w:rsidRPr="007E753F">
        <w:br/>
        <w:t xml:space="preserve">    },</w:t>
      </w:r>
      <w:r w:rsidRPr="007E753F">
        <w:br/>
        <w:t xml:space="preserve">    {</w:t>
      </w:r>
      <w:r w:rsidRPr="007E753F">
        <w:br/>
        <w:t xml:space="preserve">      "doc_id": "doc_456",</w:t>
      </w:r>
      <w:r w:rsidRPr="007E753F">
        <w:br/>
        <w:t xml:space="preserve">      "content": "...",</w:t>
      </w:r>
      <w:r w:rsidRPr="007E753F">
        <w:br/>
        <w:t xml:space="preserve">      "metadata": { "source": "Internal Draft", "date": "2025-05-14" },</w:t>
      </w:r>
      <w:r w:rsidRPr="007E753F">
        <w:br/>
        <w:t xml:space="preserve">      "final_score": 0.78</w:t>
      </w:r>
      <w:r w:rsidRPr="007E753F">
        <w:br/>
        <w:t xml:space="preserve">    }</w:t>
      </w:r>
      <w:r w:rsidRPr="007E753F">
        <w:br/>
        <w:t xml:space="preserve">  ]</w:t>
      </w:r>
      <w:r w:rsidRPr="007E753F">
        <w:br/>
        <w:t>}</w:t>
      </w:r>
    </w:p>
    <w:p w14:paraId="7B3C2E09" w14:textId="77777777" w:rsidR="007E753F" w:rsidRPr="007E753F" w:rsidRDefault="007E753F" w:rsidP="007E753F">
      <w:pPr>
        <w:rPr>
          <w:b/>
          <w:bCs/>
        </w:rPr>
      </w:pPr>
      <w:r w:rsidRPr="007E753F">
        <w:rPr>
          <w:b/>
          <w:bCs/>
        </w:rPr>
        <w:t>4 — Implement Caching and Embedding Warm-Starts to Slash Latency</w:t>
      </w:r>
    </w:p>
    <w:p w14:paraId="4EBF03B5" w14:textId="77777777" w:rsidR="007E753F" w:rsidRPr="007E753F" w:rsidRDefault="007E753F" w:rsidP="007E753F">
      <w:r w:rsidRPr="007E753F">
        <w:t>Latency is a killer for user-facing applications. Implement an </w:t>
      </w:r>
      <w:r w:rsidRPr="007E753F">
        <w:rPr>
          <w:b/>
          <w:bCs/>
        </w:rPr>
        <w:t>embedding cache</w:t>
      </w:r>
      <w:r w:rsidRPr="007E753F">
        <w:t>: store vector representations once and reuse them for repeat queries. For common questions, this avoids the computational cost of re-calculating embeddings and querying the vector database. A well-implemented caching layer </w:t>
      </w:r>
      <w:r w:rsidRPr="007E753F">
        <w:rPr>
          <w:b/>
          <w:bCs/>
        </w:rPr>
        <w:t>cuts p95 response time from 2.1 s to 450 ms</w:t>
      </w:r>
      <w:r w:rsidRPr="007E753F">
        <w:t>, delivering the real-time experience users expect.</w:t>
      </w:r>
    </w:p>
    <w:p w14:paraId="10FE1B16" w14:textId="77777777" w:rsidR="007E753F" w:rsidRPr="007E753F" w:rsidRDefault="007E753F" w:rsidP="007E753F">
      <w:pPr>
        <w:rPr>
          <w:b/>
          <w:bCs/>
        </w:rPr>
      </w:pPr>
      <w:r w:rsidRPr="007E753F">
        <w:rPr>
          <w:b/>
          <w:bCs/>
        </w:rPr>
        <w:t>5 — Continuously Evaluate With Ground-Truth QA and Hallucination Metrics</w:t>
      </w:r>
    </w:p>
    <w:p w14:paraId="7F61D6C8" w14:textId="77777777" w:rsidR="007E753F" w:rsidRPr="007E753F" w:rsidRDefault="007E753F" w:rsidP="007E753F">
      <w:r w:rsidRPr="007E753F">
        <w:t>You cannot improve what you cannot measure. Implement a continuous evaluation pipeline using </w:t>
      </w:r>
      <w:r w:rsidRPr="007E753F">
        <w:rPr>
          <w:b/>
          <w:bCs/>
        </w:rPr>
        <w:t>Ground-Truth QA</w:t>
      </w:r>
      <w:r w:rsidRPr="007E753F">
        <w:t>: a method of comparing generated answers to a gold-standard dataset of questions and expert-verified answers. Track these key metrics:</w:t>
      </w:r>
    </w:p>
    <w:p w14:paraId="6779B4E9" w14:textId="77777777" w:rsidR="007E753F" w:rsidRPr="007E753F" w:rsidRDefault="007E753F" w:rsidP="007E753F">
      <w:pPr>
        <w:numPr>
          <w:ilvl w:val="0"/>
          <w:numId w:val="4"/>
        </w:numPr>
      </w:pPr>
      <w:r w:rsidRPr="007E753F">
        <w:rPr>
          <w:b/>
          <w:bCs/>
        </w:rPr>
        <w:t>Exact Match (EM):</w:t>
      </w:r>
      <w:r w:rsidRPr="007E753F">
        <w:t> The percentage of generated answers that are identical to the ground truth.</w:t>
      </w:r>
    </w:p>
    <w:p w14:paraId="431E2B08" w14:textId="77777777" w:rsidR="007E753F" w:rsidRPr="007E753F" w:rsidRDefault="007E753F" w:rsidP="007E753F">
      <w:pPr>
        <w:numPr>
          <w:ilvl w:val="0"/>
          <w:numId w:val="4"/>
        </w:numPr>
      </w:pPr>
      <w:r w:rsidRPr="007E753F">
        <w:rPr>
          <w:b/>
          <w:bCs/>
        </w:rPr>
        <w:t>F1 Score:</w:t>
      </w:r>
      <w:r w:rsidRPr="007E753F">
        <w:t> A measure that balances precision and recall, useful for answers that are semantically similar but not identical.</w:t>
      </w:r>
    </w:p>
    <w:p w14:paraId="7765AA52" w14:textId="77777777" w:rsidR="007E753F" w:rsidRPr="007E753F" w:rsidRDefault="007E753F" w:rsidP="007E753F">
      <w:pPr>
        <w:numPr>
          <w:ilvl w:val="0"/>
          <w:numId w:val="4"/>
        </w:numPr>
      </w:pPr>
      <w:r w:rsidRPr="007E753F">
        <w:rPr>
          <w:b/>
          <w:bCs/>
        </w:rPr>
        <w:t>Hallucination Rate:</w:t>
      </w:r>
      <w:r w:rsidRPr="007E753F">
        <w:t> The percentage of generated answers that contain information not supported by the retrieved source documents.</w:t>
      </w:r>
    </w:p>
    <w:p w14:paraId="1243F285" w14:textId="77777777" w:rsidR="007E753F" w:rsidRPr="007E753F" w:rsidRDefault="007E753F" w:rsidP="007E753F">
      <w:pPr>
        <w:rPr>
          <w:b/>
          <w:bCs/>
        </w:rPr>
      </w:pPr>
      <w:r w:rsidRPr="007E753F">
        <w:rPr>
          <w:b/>
          <w:bCs/>
        </w:rPr>
        <w:t>6 — Secure the Pipeline: Role-Based Access, PII Redaction, Audit Logs</w:t>
      </w:r>
    </w:p>
    <w:p w14:paraId="53BB8CFD" w14:textId="77777777" w:rsidR="007E753F" w:rsidRPr="007E753F" w:rsidRDefault="007E753F" w:rsidP="007E753F">
      <w:r w:rsidRPr="007E753F">
        <w:t>Treat your RAG pipeline with a zero-trust security model. Implement role-based access control (RBAC) to ensure users can only query data they are authorized to see. Before ingesting documents, use an automated </w:t>
      </w:r>
      <w:r w:rsidRPr="007E753F">
        <w:rPr>
          <w:b/>
          <w:bCs/>
        </w:rPr>
        <w:t>PII Redaction</w:t>
      </w:r>
      <w:r w:rsidRPr="007E753F">
        <w:t> service to find and mask personally identifiable information. Finally, maintain detailed audit logs of all queries and retrieved documents to ensure compliance and traceability.</w:t>
      </w:r>
    </w:p>
    <w:p w14:paraId="5D1CBA59" w14:textId="77777777" w:rsidR="007E753F" w:rsidRPr="007E753F" w:rsidRDefault="007E753F" w:rsidP="007E753F">
      <w:pPr>
        <w:rPr>
          <w:b/>
          <w:bCs/>
        </w:rPr>
      </w:pPr>
      <w:r w:rsidRPr="007E753F">
        <w:rPr>
          <w:b/>
          <w:bCs/>
        </w:rPr>
        <w:lastRenderedPageBreak/>
        <w:t>7 — Plan for Elastic Scaling With GPU Pods and Cost-Guardrails</w:t>
      </w:r>
    </w:p>
    <w:p w14:paraId="3225CC83" w14:textId="77777777" w:rsidR="007E753F" w:rsidRPr="007E753F" w:rsidRDefault="007E753F" w:rsidP="007E753F">
      <w:r w:rsidRPr="007E753F">
        <w:t>Production RAG workloads can be spiky. Design your architecture for elastic scaling using Kubernetes or serverless compute platforms like Ray Serve to automatically provision GPU pods based on demand. To prevent runaway expenses, implement cost-monitoring and set token quotas per user or team. This ensures that you can meet performance SLAs without exceeding budget.</w:t>
      </w:r>
    </w:p>
    <w:p w14:paraId="6F2391CF" w14:textId="77777777" w:rsidR="007E753F" w:rsidRPr="007E753F" w:rsidRDefault="007E753F" w:rsidP="007E753F">
      <w:pPr>
        <w:rPr>
          <w:b/>
          <w:bCs/>
        </w:rPr>
      </w:pPr>
      <w:r w:rsidRPr="007E753F">
        <w:rPr>
          <w:b/>
          <w:bCs/>
        </w:rPr>
        <w:t>Measuring Success and Avoiding Pitfalls</w:t>
      </w:r>
    </w:p>
    <w:p w14:paraId="429D9255" w14:textId="77777777" w:rsidR="007E753F" w:rsidRPr="007E753F" w:rsidRDefault="007E753F" w:rsidP="007E753F">
      <w:r w:rsidRPr="007E753F">
        <w:t>Rely on data-driven monitoring to guide the iteration and improvement of your RAG system.</w:t>
      </w:r>
    </w:p>
    <w:p w14:paraId="3203A284" w14:textId="77777777" w:rsidR="007E753F" w:rsidRPr="007E753F" w:rsidRDefault="007E753F" w:rsidP="007E753F">
      <w:pPr>
        <w:rPr>
          <w:b/>
          <w:bCs/>
        </w:rPr>
      </w:pPr>
      <w:r w:rsidRPr="007E753F">
        <w:rPr>
          <w:b/>
          <w:bCs/>
        </w:rPr>
        <w:t>Key KPIs—Precision@K, Answer Rate, Cost per 1K Calls</w:t>
      </w:r>
    </w:p>
    <w:p w14:paraId="507E8169" w14:textId="77777777" w:rsidR="007E753F" w:rsidRPr="007E753F" w:rsidRDefault="007E753F" w:rsidP="007E753F">
      <w:pPr>
        <w:numPr>
          <w:ilvl w:val="0"/>
          <w:numId w:val="5"/>
        </w:numPr>
      </w:pPr>
      <w:r w:rsidRPr="007E753F">
        <w:rPr>
          <w:b/>
          <w:bCs/>
        </w:rPr>
        <w:t>Precision@K:</w:t>
      </w:r>
      <w:r w:rsidRPr="007E753F">
        <w:t> The fraction of relevant documents among the top K retrieved results (e.g., a target of </w:t>
      </w:r>
      <w:r w:rsidRPr="007E753F">
        <w:rPr>
          <w:b/>
          <w:bCs/>
        </w:rPr>
        <w:t>≥ 0.85 for regulated content</w:t>
      </w:r>
      <w:r w:rsidRPr="007E753F">
        <w:t> ensures high-quality context).</w:t>
      </w:r>
    </w:p>
    <w:p w14:paraId="203782B9" w14:textId="77777777" w:rsidR="007E753F" w:rsidRPr="007E753F" w:rsidRDefault="007E753F" w:rsidP="007E753F">
      <w:pPr>
        <w:numPr>
          <w:ilvl w:val="0"/>
          <w:numId w:val="5"/>
        </w:numPr>
      </w:pPr>
      <w:r w:rsidRPr="007E753F">
        <w:rPr>
          <w:b/>
          <w:bCs/>
        </w:rPr>
        <w:t>Answer Rate:</w:t>
      </w:r>
      <w:r w:rsidRPr="007E753F">
        <w:t> The percentage of queries for which the system can provide an answer from the available knowledge base.</w:t>
      </w:r>
    </w:p>
    <w:p w14:paraId="0C9EA410" w14:textId="77777777" w:rsidR="007E753F" w:rsidRPr="007E753F" w:rsidRDefault="007E753F" w:rsidP="007E753F">
      <w:pPr>
        <w:numPr>
          <w:ilvl w:val="0"/>
          <w:numId w:val="5"/>
        </w:numPr>
      </w:pPr>
      <w:r w:rsidRPr="007E753F">
        <w:rPr>
          <w:b/>
          <w:bCs/>
        </w:rPr>
        <w:t>Cost per 1K Calls:</w:t>
      </w:r>
      <w:r w:rsidRPr="007E753F">
        <w:t> A crucial metric for tracking operational spend and ensuring the system remains economically viable.</w:t>
      </w:r>
    </w:p>
    <w:p w14:paraId="3D08BDC6" w14:textId="77777777" w:rsidR="007E753F" w:rsidRPr="007E753F" w:rsidRDefault="007E753F" w:rsidP="007E753F">
      <w:pPr>
        <w:rPr>
          <w:b/>
          <w:bCs/>
        </w:rPr>
      </w:pPr>
      <w:r w:rsidRPr="007E753F">
        <w:rPr>
          <w:b/>
          <w:bCs/>
        </w:rPr>
        <w:t>Common Failure Modes—Stale Embeddings, Sparse Images, Query Drift</w:t>
      </w:r>
    </w:p>
    <w:p w14:paraId="1365251B" w14:textId="77777777" w:rsidR="007E753F" w:rsidRPr="007E753F" w:rsidRDefault="007E753F" w:rsidP="007E753F">
      <w:pPr>
        <w:numPr>
          <w:ilvl w:val="0"/>
          <w:numId w:val="6"/>
        </w:numPr>
      </w:pPr>
      <w:r w:rsidRPr="007E753F">
        <w:rPr>
          <w:b/>
          <w:bCs/>
        </w:rPr>
        <w:t>Stale Embeddings:</w:t>
      </w:r>
      <w:r w:rsidRPr="007E753F">
        <w:t> </w:t>
      </w:r>
      <w:r w:rsidRPr="007E753F">
        <w:rPr>
          <w:i/>
          <w:iCs/>
        </w:rPr>
        <w:t>Symptom:</w:t>
      </w:r>
      <w:r w:rsidRPr="007E753F">
        <w:t> System provides outdated answers. </w:t>
      </w:r>
      <w:r w:rsidRPr="007E753F">
        <w:rPr>
          <w:i/>
          <w:iCs/>
        </w:rPr>
        <w:t>Fix:</w:t>
      </w:r>
      <w:r w:rsidRPr="007E753F">
        <w:t> Implement a process to automatically re-index documents when they are updated.</w:t>
      </w:r>
    </w:p>
    <w:p w14:paraId="2A4D3DEC" w14:textId="77777777" w:rsidR="007E753F" w:rsidRPr="007E753F" w:rsidRDefault="007E753F" w:rsidP="007E753F">
      <w:pPr>
        <w:numPr>
          <w:ilvl w:val="0"/>
          <w:numId w:val="6"/>
        </w:numPr>
      </w:pPr>
      <w:r w:rsidRPr="007E753F">
        <w:rPr>
          <w:b/>
          <w:bCs/>
        </w:rPr>
        <w:t>Sparse Images:</w:t>
      </w:r>
      <w:r w:rsidRPr="007E753F">
        <w:t> </w:t>
      </w:r>
      <w:r w:rsidRPr="007E753F">
        <w:rPr>
          <w:i/>
          <w:iCs/>
        </w:rPr>
        <w:t>Symptom:</w:t>
      </w:r>
      <w:r w:rsidRPr="007E753F">
        <w:t> Visual search returns irrelevant results. </w:t>
      </w:r>
      <w:r w:rsidRPr="007E753F">
        <w:rPr>
          <w:i/>
          <w:iCs/>
        </w:rPr>
        <w:t>Fix:</w:t>
      </w:r>
      <w:r w:rsidRPr="007E753F">
        <w:t> Ensure source images are high-resolution and use a multimodal embedding model trained for your specific domain.</w:t>
      </w:r>
    </w:p>
    <w:p w14:paraId="704D5AA7" w14:textId="77777777" w:rsidR="007E753F" w:rsidRPr="007E753F" w:rsidRDefault="007E753F" w:rsidP="007E753F">
      <w:pPr>
        <w:numPr>
          <w:ilvl w:val="0"/>
          <w:numId w:val="6"/>
        </w:numPr>
      </w:pPr>
      <w:r w:rsidRPr="007E753F">
        <w:rPr>
          <w:b/>
          <w:bCs/>
        </w:rPr>
        <w:t>Query Drift:</w:t>
      </w:r>
      <w:r w:rsidRPr="007E753F">
        <w:t> </w:t>
      </w:r>
      <w:r w:rsidRPr="007E753F">
        <w:rPr>
          <w:i/>
          <w:iCs/>
        </w:rPr>
        <w:t>Symptom:</w:t>
      </w:r>
      <w:r w:rsidRPr="007E753F">
        <w:t> Performance degrades over time as user queries evolve. </w:t>
      </w:r>
      <w:r w:rsidRPr="007E753F">
        <w:rPr>
          <w:i/>
          <w:iCs/>
        </w:rPr>
        <w:t>Fix:</w:t>
      </w:r>
      <w:r w:rsidRPr="007E753F">
        <w:t> Regularly analyze query logs to identify new topics and augment your knowledge base accordingly.</w:t>
      </w:r>
    </w:p>
    <w:p w14:paraId="629BA34A" w14:textId="77777777" w:rsidR="007E753F" w:rsidRPr="007E753F" w:rsidRDefault="007E753F" w:rsidP="007E753F">
      <w:pPr>
        <w:rPr>
          <w:b/>
          <w:bCs/>
        </w:rPr>
      </w:pPr>
      <w:r w:rsidRPr="007E753F">
        <w:rPr>
          <w:b/>
          <w:bCs/>
        </w:rPr>
        <w:t>Iteration Loop—Retrieval Telemetry to Model Updates</w:t>
      </w:r>
    </w:p>
    <w:p w14:paraId="07D43A02" w14:textId="77777777" w:rsidR="007E753F" w:rsidRPr="007E753F" w:rsidRDefault="007E753F" w:rsidP="007E753F">
      <w:r w:rsidRPr="007E753F">
        <w:t>Implement a tight feedback loop for continuous improvement:</w:t>
      </w:r>
    </w:p>
    <w:p w14:paraId="73C21652" w14:textId="77777777" w:rsidR="007E753F" w:rsidRPr="007E753F" w:rsidRDefault="007E753F" w:rsidP="007E753F">
      <w:pPr>
        <w:numPr>
          <w:ilvl w:val="0"/>
          <w:numId w:val="7"/>
        </w:numPr>
      </w:pPr>
      <w:r w:rsidRPr="007E753F">
        <w:rPr>
          <w:b/>
          <w:bCs/>
        </w:rPr>
        <w:t>Log:</w:t>
      </w:r>
      <w:r w:rsidRPr="007E753F">
        <w:t> Capture retrieval results, user feedback (e.g., thumbs up/down), and generated answers.</w:t>
      </w:r>
    </w:p>
    <w:p w14:paraId="77DF3F72" w14:textId="77777777" w:rsidR="007E753F" w:rsidRPr="007E753F" w:rsidRDefault="007E753F" w:rsidP="007E753F">
      <w:pPr>
        <w:numPr>
          <w:ilvl w:val="0"/>
          <w:numId w:val="7"/>
        </w:numPr>
      </w:pPr>
      <w:r w:rsidRPr="007E753F">
        <w:rPr>
          <w:b/>
          <w:bCs/>
        </w:rPr>
        <w:t>Analyze:</w:t>
      </w:r>
      <w:r w:rsidRPr="007E753F">
        <w:t> Use dashboards to review KPIs and identify failure modes weekly.</w:t>
      </w:r>
    </w:p>
    <w:p w14:paraId="4A91FBC3" w14:textId="77777777" w:rsidR="007E753F" w:rsidRPr="007E753F" w:rsidRDefault="007E753F" w:rsidP="007E753F">
      <w:pPr>
        <w:numPr>
          <w:ilvl w:val="0"/>
          <w:numId w:val="7"/>
        </w:numPr>
      </w:pPr>
      <w:r w:rsidRPr="007E753F">
        <w:rPr>
          <w:b/>
          <w:bCs/>
        </w:rPr>
        <w:lastRenderedPageBreak/>
        <w:t>Retrain/Re-index:</w:t>
      </w:r>
      <w:r w:rsidRPr="007E753F">
        <w:t> Use these insights to update your retrieval models, chunking strategies, or add new data to your knowledge base.</w:t>
      </w:r>
    </w:p>
    <w:p w14:paraId="5D7451B6" w14:textId="77777777" w:rsidR="007E753F" w:rsidRPr="007E753F" w:rsidRDefault="007E753F" w:rsidP="007E753F">
      <w:pPr>
        <w:rPr>
          <w:b/>
          <w:bCs/>
        </w:rPr>
      </w:pPr>
      <w:r w:rsidRPr="007E753F">
        <w:rPr>
          <w:b/>
          <w:bCs/>
        </w:rPr>
        <w:t>Implementation Toolkit and Reference Architecture</w:t>
      </w:r>
    </w:p>
    <w:p w14:paraId="526FA635" w14:textId="77777777" w:rsidR="007E753F" w:rsidRPr="007E753F" w:rsidRDefault="007E753F" w:rsidP="007E753F">
      <w:r w:rsidRPr="007E753F">
        <w:t>Leverage open-source ecosystems to shorten your time-to-value and avoid vendor lock-in.</w:t>
      </w:r>
    </w:p>
    <w:p w14:paraId="20481918" w14:textId="77777777" w:rsidR="007E753F" w:rsidRPr="007E753F" w:rsidRDefault="007E753F" w:rsidP="007E753F">
      <w:pPr>
        <w:rPr>
          <w:b/>
          <w:bCs/>
        </w:rPr>
      </w:pPr>
      <w:r w:rsidRPr="007E753F">
        <w:rPr>
          <w:b/>
          <w:bCs/>
        </w:rPr>
        <w:t>End-to-End RAG Platforms</w:t>
      </w:r>
    </w:p>
    <w:p w14:paraId="08F77F65" w14:textId="77777777" w:rsidR="007E753F" w:rsidRPr="007E753F" w:rsidRDefault="007E753F" w:rsidP="007E753F">
      <w:pPr>
        <w:numPr>
          <w:ilvl w:val="0"/>
          <w:numId w:val="8"/>
        </w:numPr>
      </w:pPr>
      <w:r w:rsidRPr="007E753F">
        <w:rPr>
          <w:b/>
          <w:bCs/>
        </w:rPr>
        <w:t>Morphik:</w:t>
      </w:r>
      <w:r w:rsidRPr="007E753F">
        <w:t> A platform that provides a complete RAG pipeline, including a vector database, retriever, ranker, and generator. Fully managed, so all users need to do it upload their documents, and Morphik can do the rest.</w:t>
      </w:r>
    </w:p>
    <w:p w14:paraId="19DEF8B8" w14:textId="77777777" w:rsidR="007E753F" w:rsidRPr="007E753F" w:rsidRDefault="007E753F" w:rsidP="007E753F">
      <w:pPr>
        <w:rPr>
          <w:b/>
          <w:bCs/>
        </w:rPr>
      </w:pPr>
      <w:r w:rsidRPr="007E753F">
        <w:rPr>
          <w:b/>
          <w:bCs/>
        </w:rPr>
        <w:t>Open-Source Stack—LangChain, LlamaIndex, Morphik Core, Haystack</w:t>
      </w:r>
    </w:p>
    <w:p w14:paraId="19F87912" w14:textId="77777777" w:rsidR="007E753F" w:rsidRPr="007E753F" w:rsidRDefault="007E753F" w:rsidP="007E753F">
      <w:pPr>
        <w:numPr>
          <w:ilvl w:val="0"/>
          <w:numId w:val="9"/>
        </w:numPr>
      </w:pPr>
      <w:r w:rsidRPr="007E753F">
        <w:rPr>
          <w:b/>
          <w:bCs/>
        </w:rPr>
        <w:t>LlamaIndex:</w:t>
      </w:r>
      <w:r w:rsidRPr="007E753F">
        <w:t> A data framework specializing in advanced data ingestion and indexing, particularly for complex data structures.</w:t>
      </w:r>
    </w:p>
    <w:p w14:paraId="6C49734A" w14:textId="77777777" w:rsidR="007E753F" w:rsidRPr="007E753F" w:rsidRDefault="007E753F" w:rsidP="007E753F">
      <w:pPr>
        <w:numPr>
          <w:ilvl w:val="0"/>
          <w:numId w:val="9"/>
        </w:numPr>
      </w:pPr>
      <w:r w:rsidRPr="007E753F">
        <w:rPr>
          <w:b/>
          <w:bCs/>
        </w:rPr>
        <w:t>Morphik Core:</w:t>
      </w:r>
      <w:r w:rsidRPr="007E753F">
        <w:t> An open-source, multimodal RAG platform for building AI apps over private knowledge, excelling at processing documents with visual elements.</w:t>
      </w:r>
    </w:p>
    <w:p w14:paraId="58D8D039" w14:textId="77777777" w:rsidR="007E753F" w:rsidRPr="007E753F" w:rsidRDefault="007E753F" w:rsidP="007E753F">
      <w:pPr>
        <w:numPr>
          <w:ilvl w:val="0"/>
          <w:numId w:val="9"/>
        </w:numPr>
      </w:pPr>
      <w:r w:rsidRPr="007E753F">
        <w:rPr>
          <w:b/>
          <w:bCs/>
        </w:rPr>
        <w:t>Haystack:</w:t>
      </w:r>
      <w:r w:rsidRPr="007E753F">
        <w:t> An end-to-end framework from deepset that is well-suited for building production-ready search pipelines.</w:t>
      </w:r>
    </w:p>
    <w:p w14:paraId="10B8FBBE" w14:textId="77777777" w:rsidR="007E753F" w:rsidRPr="007E753F" w:rsidRDefault="007E753F" w:rsidP="007E753F">
      <w:r w:rsidRPr="007E753F">
        <w:rPr>
          <w:i/>
          <w:iCs/>
        </w:rPr>
        <w:t>A note on licensing:</w:t>
      </w:r>
      <w:r w:rsidRPr="007E753F">
        <w:t> Always check license compatibility. Most of these tools use permissive licenses like Apache 2.0 or MIT, which are friendly for commercial use.</w:t>
      </w:r>
    </w:p>
    <w:p w14:paraId="239E641E" w14:textId="77777777" w:rsidR="007E753F" w:rsidRPr="007E753F" w:rsidRDefault="007E753F" w:rsidP="007E753F">
      <w:pPr>
        <w:rPr>
          <w:b/>
          <w:bCs/>
        </w:rPr>
      </w:pPr>
      <w:r w:rsidRPr="007E753F">
        <w:rPr>
          <w:b/>
          <w:bCs/>
        </w:rPr>
        <w:t>Sample Deployment Diagram—Ingest, Index, Retrieve, Generate</w:t>
      </w:r>
    </w:p>
    <w:p w14:paraId="0E73A04D" w14:textId="77777777" w:rsidR="007E753F" w:rsidRPr="007E753F" w:rsidRDefault="007E753F" w:rsidP="007E753F">
      <w:r w:rsidRPr="007E753F">
        <w:t>A typical RAG architecture follows a logical data flow, secured by access controls and monitored continuously.</w:t>
      </w:r>
    </w:p>
    <w:p w14:paraId="01EF7452" w14:textId="77777777" w:rsidR="007E753F" w:rsidRDefault="007E753F" w:rsidP="007E753F"/>
    <w:p w14:paraId="0095F3F2" w14:textId="77777777" w:rsidR="007E753F" w:rsidRDefault="007E753F" w:rsidP="007E753F"/>
    <w:p w14:paraId="04D975CE" w14:textId="5A4E155A" w:rsidR="007E753F" w:rsidRPr="007E753F" w:rsidRDefault="007E753F" w:rsidP="007E753F">
      <w:r w:rsidRPr="007E753F">
        <w:t>+-----------------+      +----------------+      +------------------+</w:t>
      </w:r>
      <w:r w:rsidRPr="007E753F">
        <w:br/>
        <w:t>| Data Sources    |-----&gt;| Ingest/Chunk   |-----&gt;| Indexing         |</w:t>
      </w:r>
      <w:r w:rsidRPr="007E753F">
        <w:br/>
        <w:t>| (PDFs, Images)  |      | (Morphik Core) |      | (Vector Store)   |</w:t>
      </w:r>
      <w:r w:rsidRPr="007E753F">
        <w:br/>
        <w:t>+-----------------+      +----------------+      +------------------+</w:t>
      </w:r>
      <w:r w:rsidRPr="007E753F">
        <w:br/>
        <w:t xml:space="preserve">        ^                      ^                         |</w:t>
      </w:r>
      <w:r w:rsidRPr="007E753F">
        <w:br/>
        <w:t xml:space="preserve">        |                      |                         |</w:t>
      </w:r>
      <w:r w:rsidRPr="007E753F">
        <w:br/>
        <w:t>+-----------------+      +-----------------+      +------------------+</w:t>
      </w:r>
      <w:r w:rsidRPr="007E753F">
        <w:br/>
        <w:t>| Monitoring      |&lt;-----| Security Gateway|&lt;-----| Retrieve/Rank    |</w:t>
      </w:r>
      <w:r w:rsidRPr="007E753F">
        <w:br/>
        <w:t>| (Dashboards)    |      | (Access Cntrl)  |      | (Hybrid Search)  |</w:t>
      </w:r>
      <w:r w:rsidRPr="007E753F">
        <w:br/>
        <w:t>+-----------------+      +-----------------+      +------------------+</w:t>
      </w:r>
      <w:r w:rsidRPr="007E753F">
        <w:br/>
        <w:t xml:space="preserve">                                                     |</w:t>
      </w:r>
      <w:r w:rsidRPr="007E753F">
        <w:br/>
      </w:r>
      <w:r w:rsidRPr="007E753F">
        <w:lastRenderedPageBreak/>
        <w:t xml:space="preserve">                                                     v</w:t>
      </w:r>
      <w:r w:rsidRPr="007E753F">
        <w:br/>
        <w:t xml:space="preserve">                                              +------------------+</w:t>
      </w:r>
      <w:r w:rsidRPr="007E753F">
        <w:br/>
        <w:t xml:space="preserve">                                              | Generate         |</w:t>
      </w:r>
      <w:r w:rsidRPr="007E753F">
        <w:br/>
        <w:t xml:space="preserve">                                              | (LLM)            |</w:t>
      </w:r>
      <w:r w:rsidRPr="007E753F">
        <w:br/>
        <w:t xml:space="preserve">                                              +------------------+</w:t>
      </w:r>
      <w:r w:rsidRPr="007E753F">
        <w:br/>
        <w:t xml:space="preserve">                                                     |</w:t>
      </w:r>
      <w:r w:rsidRPr="007E753F">
        <w:br/>
        <w:t xml:space="preserve">                                                     v</w:t>
      </w:r>
      <w:r w:rsidRPr="007E753F">
        <w:br/>
        <w:t xml:space="preserve">                                              +------------------+</w:t>
      </w:r>
      <w:r w:rsidRPr="007E753F">
        <w:br/>
        <w:t xml:space="preserve">                                              | User             |</w:t>
      </w:r>
      <w:r w:rsidRPr="007E753F">
        <w:br/>
        <w:t xml:space="preserve">                                              +------------------+</w:t>
      </w:r>
    </w:p>
    <w:p w14:paraId="25890C6C" w14:textId="77777777" w:rsidR="007E753F" w:rsidRPr="007E753F" w:rsidRDefault="007E753F" w:rsidP="007E753F">
      <w:pPr>
        <w:rPr>
          <w:b/>
          <w:bCs/>
        </w:rPr>
      </w:pPr>
      <w:r w:rsidRPr="007E753F">
        <w:rPr>
          <w:b/>
          <w:bCs/>
        </w:rPr>
        <w:t>Frequently Asked Questions</w:t>
      </w:r>
    </w:p>
    <w:p w14:paraId="15AE41A3" w14:textId="77777777" w:rsidR="007E753F" w:rsidRPr="007E753F" w:rsidRDefault="007E753F" w:rsidP="007E753F">
      <w:pPr>
        <w:rPr>
          <w:b/>
          <w:bCs/>
        </w:rPr>
      </w:pPr>
      <w:r w:rsidRPr="007E753F">
        <w:rPr>
          <w:b/>
          <w:bCs/>
        </w:rPr>
        <w:t>How Do I Integrate Engineering Drawings or Photos Into a RAG Workflow?</w:t>
      </w:r>
    </w:p>
    <w:p w14:paraId="5918B8BE" w14:textId="77777777" w:rsidR="007E753F" w:rsidRPr="007E753F" w:rsidRDefault="007E753F" w:rsidP="007E753F">
      <w:r w:rsidRPr="007E753F">
        <w:t>The best way to integrate engineering drawings or photos intoa RAG worlfows is to directly embed the images instead of trying to perform OCR or other such operations. Platforms like Morphik automate this, where you can just ingest your drawings or photos and perform natural language querying on top.</w:t>
      </w:r>
    </w:p>
    <w:p w14:paraId="24744983" w14:textId="77777777" w:rsidR="007E753F" w:rsidRPr="007E753F" w:rsidRDefault="007E753F" w:rsidP="007E753F">
      <w:pPr>
        <w:rPr>
          <w:b/>
          <w:bCs/>
        </w:rPr>
      </w:pPr>
      <w:r w:rsidRPr="007E753F">
        <w:rPr>
          <w:b/>
          <w:bCs/>
        </w:rPr>
        <w:t>What GPU Resources Are Needed for 10K Queries per Day?</w:t>
      </w:r>
    </w:p>
    <w:p w14:paraId="1C34DD11" w14:textId="77777777" w:rsidR="007E753F" w:rsidRPr="007E753F" w:rsidRDefault="007E753F" w:rsidP="007E753F">
      <w:r w:rsidRPr="007E753F">
        <w:t>Morphik can handle over 10k queries a day on a single NVIDIA A10 (not A100) GPU.</w:t>
      </w:r>
    </w:p>
    <w:p w14:paraId="33118AAD" w14:textId="77777777" w:rsidR="007E753F" w:rsidRPr="007E753F" w:rsidRDefault="007E753F" w:rsidP="007E753F">
      <w:pPr>
        <w:rPr>
          <w:b/>
          <w:bCs/>
        </w:rPr>
      </w:pPr>
      <w:r w:rsidRPr="007E753F">
        <w:rPr>
          <w:b/>
          <w:bCs/>
        </w:rPr>
        <w:t>Can I Run RAG Completely On-Prem for Compliance Reasons?</w:t>
      </w:r>
    </w:p>
    <w:p w14:paraId="4301DCD9" w14:textId="77777777" w:rsidR="007E753F" w:rsidRPr="007E753F" w:rsidRDefault="007E753F" w:rsidP="007E753F">
      <w:r w:rsidRPr="007E753F">
        <w:t>Yes—use tools like Morphik, LangChain, and on-prem vector stores; ensure you deploy role-based access controls and offline model checkpoints. Platforms like Morphik make it really easy to have privacy-focused RBAC while being easy to deploy on-premises.</w:t>
      </w:r>
    </w:p>
    <w:p w14:paraId="39824E0B" w14:textId="77777777" w:rsidR="007E753F" w:rsidRPr="007E753F" w:rsidRDefault="007E753F" w:rsidP="007E753F">
      <w:pPr>
        <w:rPr>
          <w:b/>
          <w:bCs/>
        </w:rPr>
      </w:pPr>
      <w:r w:rsidRPr="007E753F">
        <w:rPr>
          <w:b/>
          <w:bCs/>
        </w:rPr>
        <w:t>How Do I Quantify the ROI of RAG Versus Traditional Search?</w:t>
      </w:r>
    </w:p>
    <w:p w14:paraId="56F8D456" w14:textId="77777777" w:rsidR="007E753F" w:rsidRPr="007E753F" w:rsidRDefault="007E753F" w:rsidP="007E753F">
      <w:r w:rsidRPr="007E753F">
        <w:t>Setting up evaluation metrics and tracking the improvement of your applications on those metrics is a great way to quantify the ROI of RAG. There is a huge tradeoff to implementing RAG yourself, and so using an end-to-end solution is a great way to see the ROI without heavy investment into building your own pipeline.</w:t>
      </w:r>
    </w:p>
    <w:p w14:paraId="5B5FCBE7" w14:textId="77777777" w:rsidR="00422CB5" w:rsidRDefault="00422CB5"/>
    <w:p w14:paraId="487C37B8" w14:textId="77777777" w:rsidR="00986337" w:rsidRDefault="00986337"/>
    <w:p w14:paraId="218764A9" w14:textId="77777777" w:rsidR="00986337" w:rsidRDefault="00986337"/>
    <w:p w14:paraId="03319599" w14:textId="77777777" w:rsidR="00986337" w:rsidRDefault="00986337"/>
    <w:p w14:paraId="09B0014C" w14:textId="77777777" w:rsidR="00986337" w:rsidRDefault="00986337"/>
    <w:p w14:paraId="53980599" w14:textId="77777777" w:rsidR="00986337" w:rsidRDefault="00986337"/>
    <w:p w14:paraId="060C4194" w14:textId="77777777" w:rsidR="00986337" w:rsidRPr="00986337" w:rsidRDefault="00986337" w:rsidP="00986337">
      <w:pPr>
        <w:rPr>
          <w:b/>
          <w:bCs/>
        </w:rPr>
      </w:pPr>
      <w:r w:rsidRPr="00986337">
        <w:rPr>
          <w:b/>
          <w:bCs/>
        </w:rPr>
        <w:lastRenderedPageBreak/>
        <w:t>The "Sentinel 10" Research Portfolio</w:t>
      </w:r>
    </w:p>
    <w:p w14:paraId="1F3C8C08" w14:textId="77777777" w:rsidR="00986337" w:rsidRPr="00986337" w:rsidRDefault="00986337" w:rsidP="00986337">
      <w:pPr>
        <w:rPr>
          <w:b/>
          <w:bCs/>
        </w:rPr>
      </w:pPr>
      <w:r w:rsidRPr="00986337">
        <w:rPr>
          <w:b/>
          <w:bCs/>
        </w:rPr>
        <w:t>Category 1: The AI Architecture (PyTorch &amp; Math)</w:t>
      </w:r>
    </w:p>
    <w:p w14:paraId="70D4CA66" w14:textId="77777777" w:rsidR="00986337" w:rsidRPr="00986337" w:rsidRDefault="00986337" w:rsidP="00986337">
      <w:pPr>
        <w:numPr>
          <w:ilvl w:val="0"/>
          <w:numId w:val="10"/>
        </w:numPr>
      </w:pPr>
      <w:hyperlink r:id="rId20" w:tgtFrame="_blank" w:history="1">
        <w:r w:rsidRPr="00986337">
          <w:rPr>
            <w:rStyle w:val="Hyperlink"/>
            <w:b/>
            <w:bCs/>
          </w:rPr>
          <w:t>CNN-LSTM Optimized by Artificial Lemming Algorithm (Jan 2026)</w:t>
        </w:r>
      </w:hyperlink>
    </w:p>
    <w:p w14:paraId="2E658D70" w14:textId="77777777" w:rsidR="00986337" w:rsidRPr="00986337" w:rsidRDefault="00986337" w:rsidP="00986337">
      <w:pPr>
        <w:numPr>
          <w:ilvl w:val="1"/>
          <w:numId w:val="10"/>
        </w:numPr>
      </w:pPr>
      <w:r w:rsidRPr="00986337">
        <w:rPr>
          <w:b/>
          <w:bCs/>
        </w:rPr>
        <w:t>Why:</w:t>
      </w:r>
      <w:r w:rsidRPr="00986337">
        <w:t xml:space="preserve"> This is the most current "SOTA" (State of the Art) for battery health. It uses the NASA dataset and combines CNNs (feature extraction) with LSTMs (time-series), exactly like your stack.</w:t>
      </w:r>
    </w:p>
    <w:p w14:paraId="08EFC833" w14:textId="77777777" w:rsidR="00986337" w:rsidRPr="00986337" w:rsidRDefault="00986337" w:rsidP="00986337">
      <w:pPr>
        <w:numPr>
          <w:ilvl w:val="0"/>
          <w:numId w:val="10"/>
        </w:numPr>
      </w:pPr>
      <w:hyperlink r:id="rId21" w:tgtFrame="_blank" w:history="1">
        <w:r w:rsidRPr="00986337">
          <w:rPr>
            <w:rStyle w:val="Hyperlink"/>
            <w:b/>
            <w:bCs/>
          </w:rPr>
          <w:t>Robustness of CNN-Augmented Sequential Models (Dec 2025)</w:t>
        </w:r>
      </w:hyperlink>
    </w:p>
    <w:p w14:paraId="71DFFD14" w14:textId="77777777" w:rsidR="00986337" w:rsidRPr="00986337" w:rsidRDefault="00986337" w:rsidP="00986337">
      <w:pPr>
        <w:numPr>
          <w:ilvl w:val="1"/>
          <w:numId w:val="10"/>
        </w:numPr>
      </w:pPr>
      <w:r w:rsidRPr="00986337">
        <w:rPr>
          <w:b/>
          <w:bCs/>
        </w:rPr>
        <w:t>Why:</w:t>
      </w:r>
      <w:r w:rsidRPr="00986337">
        <w:t xml:space="preserve"> This paper proves that CNNs make LSTM models more "robust" when data is scarce or noisy. Use this to justify why your model is reliable enough for a real car.</w:t>
      </w:r>
    </w:p>
    <w:p w14:paraId="38FCDD14" w14:textId="77777777" w:rsidR="00986337" w:rsidRPr="00986337" w:rsidRDefault="00986337" w:rsidP="00986337">
      <w:pPr>
        <w:rPr>
          <w:b/>
          <w:bCs/>
        </w:rPr>
      </w:pPr>
      <w:r w:rsidRPr="00986337">
        <w:rPr>
          <w:b/>
          <w:bCs/>
        </w:rPr>
        <w:t>Category 2: The Hardware Edge (NPU &amp; TinyML)</w:t>
      </w:r>
    </w:p>
    <w:p w14:paraId="57BA28FF" w14:textId="77777777" w:rsidR="00986337" w:rsidRPr="00986337" w:rsidRDefault="00986337" w:rsidP="00986337">
      <w:pPr>
        <w:numPr>
          <w:ilvl w:val="0"/>
          <w:numId w:val="11"/>
        </w:numPr>
      </w:pPr>
      <w:hyperlink r:id="rId22" w:tgtFrame="_blank" w:history="1">
        <w:r w:rsidRPr="00986337">
          <w:rPr>
            <w:rStyle w:val="Hyperlink"/>
            <w:b/>
            <w:bCs/>
          </w:rPr>
          <w:t>Edge-AI Battery Prognostics System Using TinyML (Jan 2026)</w:t>
        </w:r>
      </w:hyperlink>
    </w:p>
    <w:p w14:paraId="1BC3AB96" w14:textId="77777777" w:rsidR="00986337" w:rsidRPr="00986337" w:rsidRDefault="00986337" w:rsidP="00986337">
      <w:pPr>
        <w:numPr>
          <w:ilvl w:val="1"/>
          <w:numId w:val="11"/>
        </w:numPr>
      </w:pPr>
      <w:r w:rsidRPr="00986337">
        <w:rPr>
          <w:b/>
          <w:bCs/>
        </w:rPr>
        <w:t>Why:</w:t>
      </w:r>
      <w:r w:rsidRPr="00986337">
        <w:t xml:space="preserve"> This is your </w:t>
      </w:r>
      <w:r w:rsidRPr="00986337">
        <w:rPr>
          <w:b/>
          <w:bCs/>
        </w:rPr>
        <w:t>primary hardware paper</w:t>
      </w:r>
      <w:r w:rsidRPr="00986337">
        <w:t xml:space="preserve">. It documents the </w:t>
      </w:r>
      <w:r w:rsidRPr="00986337">
        <w:rPr>
          <w:b/>
          <w:bCs/>
        </w:rPr>
        <w:t>78% model compression</w:t>
      </w:r>
      <w:r w:rsidRPr="00986337">
        <w:t xml:space="preserve"> and 45ms latency you need to justify using the </w:t>
      </w:r>
      <w:r w:rsidRPr="00986337">
        <w:rPr>
          <w:b/>
          <w:bCs/>
        </w:rPr>
        <w:t>Ryzen AI NPU</w:t>
      </w:r>
      <w:r w:rsidRPr="00986337">
        <w:t>.</w:t>
      </w:r>
    </w:p>
    <w:p w14:paraId="3C9A5104" w14:textId="77777777" w:rsidR="00986337" w:rsidRPr="00986337" w:rsidRDefault="00986337" w:rsidP="00986337">
      <w:pPr>
        <w:numPr>
          <w:ilvl w:val="0"/>
          <w:numId w:val="11"/>
        </w:numPr>
      </w:pPr>
      <w:hyperlink r:id="rId23" w:tgtFrame="_blank" w:history="1">
        <w:r w:rsidRPr="00986337">
          <w:rPr>
            <w:rStyle w:val="Hyperlink"/>
            <w:b/>
            <w:bCs/>
          </w:rPr>
          <w:t>TinyML for Energy-Efficient Edge AI (Jan 2026)</w:t>
        </w:r>
      </w:hyperlink>
    </w:p>
    <w:p w14:paraId="0722D0C9" w14:textId="77777777" w:rsidR="00986337" w:rsidRPr="00986337" w:rsidRDefault="00986337" w:rsidP="00986337">
      <w:pPr>
        <w:numPr>
          <w:ilvl w:val="1"/>
          <w:numId w:val="11"/>
        </w:numPr>
      </w:pPr>
      <w:r w:rsidRPr="00986337">
        <w:rPr>
          <w:b/>
          <w:bCs/>
        </w:rPr>
        <w:t>Why:</w:t>
      </w:r>
      <w:r w:rsidRPr="00986337">
        <w:t xml:space="preserve"> It provides the "Energy Efficiency" metrics. Mercedes cares deeply about "Parasitic Load" (how much battery the AI itself consumes). This paper proves your local AI is energy-efficient.</w:t>
      </w:r>
    </w:p>
    <w:p w14:paraId="5DB069B0" w14:textId="77777777" w:rsidR="00986337" w:rsidRPr="00986337" w:rsidRDefault="00986337" w:rsidP="00986337">
      <w:pPr>
        <w:rPr>
          <w:b/>
          <w:bCs/>
        </w:rPr>
      </w:pPr>
      <w:r w:rsidRPr="00986337">
        <w:rPr>
          <w:b/>
          <w:bCs/>
        </w:rPr>
        <w:t>Category 3: The Agentic Orchestration (LangGraph)</w:t>
      </w:r>
    </w:p>
    <w:p w14:paraId="53D36764" w14:textId="77777777" w:rsidR="00986337" w:rsidRPr="00986337" w:rsidRDefault="00986337" w:rsidP="00986337">
      <w:pPr>
        <w:numPr>
          <w:ilvl w:val="0"/>
          <w:numId w:val="12"/>
        </w:numPr>
      </w:pPr>
      <w:hyperlink r:id="rId24" w:tgtFrame="_blank" w:history="1">
        <w:r w:rsidRPr="00986337">
          <w:rPr>
            <w:rStyle w:val="Hyperlink"/>
            <w:b/>
            <w:bCs/>
          </w:rPr>
          <w:t>Multi-Agent Orchestration for Autonomous Data Pipelines (Jan 2026)</w:t>
        </w:r>
      </w:hyperlink>
    </w:p>
    <w:p w14:paraId="70325B17" w14:textId="77777777" w:rsidR="00986337" w:rsidRPr="00986337" w:rsidRDefault="00986337" w:rsidP="00986337">
      <w:pPr>
        <w:numPr>
          <w:ilvl w:val="1"/>
          <w:numId w:val="12"/>
        </w:numPr>
      </w:pPr>
      <w:r w:rsidRPr="00986337">
        <w:rPr>
          <w:b/>
          <w:bCs/>
        </w:rPr>
        <w:t>Why:</w:t>
      </w:r>
      <w:r w:rsidRPr="00986337">
        <w:t xml:space="preserve"> This is the </w:t>
      </w:r>
      <w:r w:rsidRPr="00986337">
        <w:rPr>
          <w:b/>
          <w:bCs/>
        </w:rPr>
        <w:t>scientific proof for LangGraph</w:t>
      </w:r>
      <w:r w:rsidRPr="00986337">
        <w:t>. It explains moving from "static scripts" to "goal-driven agents." This is what makes your project "Agentic AI" rather than just a simple script.</w:t>
      </w:r>
    </w:p>
    <w:p w14:paraId="56DD738C" w14:textId="77777777" w:rsidR="00986337" w:rsidRPr="00986337" w:rsidRDefault="00986337" w:rsidP="00986337">
      <w:pPr>
        <w:numPr>
          <w:ilvl w:val="0"/>
          <w:numId w:val="12"/>
        </w:numPr>
      </w:pPr>
      <w:hyperlink r:id="rId25" w:tgtFrame="_blank" w:history="1">
        <w:r w:rsidRPr="00986337">
          <w:rPr>
            <w:rStyle w:val="Hyperlink"/>
            <w:b/>
            <w:bCs/>
          </w:rPr>
          <w:t>Toward Autonomous LLM-Based AI Agents for Predictive Maintenance (2025)</w:t>
        </w:r>
      </w:hyperlink>
    </w:p>
    <w:p w14:paraId="08A694CF" w14:textId="77777777" w:rsidR="00986337" w:rsidRPr="00986337" w:rsidRDefault="00986337" w:rsidP="00986337">
      <w:pPr>
        <w:numPr>
          <w:ilvl w:val="1"/>
          <w:numId w:val="12"/>
        </w:numPr>
      </w:pPr>
      <w:r w:rsidRPr="00986337">
        <w:rPr>
          <w:b/>
          <w:bCs/>
        </w:rPr>
        <w:t>Why:</w:t>
      </w:r>
      <w:r w:rsidRPr="00986337">
        <w:t xml:space="preserve"> It specifically reviews how AI agents can diagnose machine faults. It’s the bridge between your </w:t>
      </w:r>
      <w:r w:rsidRPr="00986337">
        <w:rPr>
          <w:b/>
          <w:bCs/>
        </w:rPr>
        <w:t>FastAPI</w:t>
      </w:r>
      <w:r w:rsidRPr="00986337">
        <w:t xml:space="preserve"> backend and the battery sensors.</w:t>
      </w:r>
    </w:p>
    <w:p w14:paraId="79A77F98" w14:textId="77777777" w:rsidR="00986337" w:rsidRPr="00986337" w:rsidRDefault="00986337" w:rsidP="00986337">
      <w:pPr>
        <w:rPr>
          <w:b/>
          <w:bCs/>
        </w:rPr>
      </w:pPr>
      <w:r w:rsidRPr="00986337">
        <w:rPr>
          <w:b/>
          <w:bCs/>
        </w:rPr>
        <w:t>Category 4: Global Compliance (Mercedes &amp; EU)</w:t>
      </w:r>
    </w:p>
    <w:p w14:paraId="29D6E57A" w14:textId="77777777" w:rsidR="00986337" w:rsidRPr="00986337" w:rsidRDefault="00986337" w:rsidP="00986337">
      <w:pPr>
        <w:numPr>
          <w:ilvl w:val="0"/>
          <w:numId w:val="13"/>
        </w:numPr>
      </w:pPr>
      <w:hyperlink r:id="rId26" w:tgtFrame="_blank" w:history="1">
        <w:r w:rsidRPr="00986337">
          <w:rPr>
            <w:rStyle w:val="Hyperlink"/>
            <w:b/>
            <w:bCs/>
          </w:rPr>
          <w:t>EU Battery Regulation 2023/1542 Compliance Guide (Feb 2026)</w:t>
        </w:r>
      </w:hyperlink>
    </w:p>
    <w:p w14:paraId="342E4B85" w14:textId="77777777" w:rsidR="00986337" w:rsidRPr="00986337" w:rsidRDefault="00986337" w:rsidP="00986337">
      <w:pPr>
        <w:numPr>
          <w:ilvl w:val="1"/>
          <w:numId w:val="13"/>
        </w:numPr>
      </w:pPr>
      <w:r w:rsidRPr="00986337">
        <w:rPr>
          <w:b/>
          <w:bCs/>
        </w:rPr>
        <w:t>Why:</w:t>
      </w:r>
      <w:r w:rsidRPr="00986337">
        <w:t xml:space="preserve"> This makes your project "Market Ready." It details the laws your project helps Mercedes follow.</w:t>
      </w:r>
    </w:p>
    <w:p w14:paraId="6F13EAC1" w14:textId="77777777" w:rsidR="00986337" w:rsidRPr="00986337" w:rsidRDefault="00986337" w:rsidP="00986337">
      <w:pPr>
        <w:numPr>
          <w:ilvl w:val="0"/>
          <w:numId w:val="13"/>
        </w:numPr>
      </w:pPr>
      <w:hyperlink r:id="rId27" w:tgtFrame="_blank" w:history="1">
        <w:r w:rsidRPr="00986337">
          <w:rPr>
            <w:rStyle w:val="Hyperlink"/>
            <w:b/>
            <w:bCs/>
          </w:rPr>
          <w:t>Mercedes-Benz Ambition 2039 Official Strategy</w:t>
        </w:r>
      </w:hyperlink>
    </w:p>
    <w:p w14:paraId="6A21EC37" w14:textId="77777777" w:rsidR="00986337" w:rsidRPr="00986337" w:rsidRDefault="00986337" w:rsidP="00986337">
      <w:pPr>
        <w:numPr>
          <w:ilvl w:val="1"/>
          <w:numId w:val="13"/>
        </w:numPr>
      </w:pPr>
      <w:r w:rsidRPr="00986337">
        <w:rPr>
          <w:b/>
          <w:bCs/>
        </w:rPr>
        <w:lastRenderedPageBreak/>
        <w:t>Why:</w:t>
      </w:r>
      <w:r w:rsidRPr="00986337">
        <w:t xml:space="preserve"> This is your </w:t>
      </w:r>
      <w:r w:rsidRPr="00986337">
        <w:rPr>
          <w:b/>
          <w:bCs/>
        </w:rPr>
        <w:t>Interview/Fellowship Paper</w:t>
      </w:r>
      <w:r w:rsidRPr="00986337">
        <w:t>. Citing this proves you aren't building a "random" project, but a "Mercedes" project.</w:t>
      </w:r>
    </w:p>
    <w:p w14:paraId="326FEECB" w14:textId="77777777" w:rsidR="00986337" w:rsidRPr="00986337" w:rsidRDefault="00986337" w:rsidP="00986337">
      <w:pPr>
        <w:rPr>
          <w:b/>
          <w:bCs/>
        </w:rPr>
      </w:pPr>
      <w:r w:rsidRPr="00986337">
        <w:rPr>
          <w:b/>
          <w:bCs/>
        </w:rPr>
        <w:t>Category 5: Advanced Retrieval (Vector Search)</w:t>
      </w:r>
    </w:p>
    <w:p w14:paraId="0B28C268" w14:textId="77777777" w:rsidR="00986337" w:rsidRPr="00986337" w:rsidRDefault="00986337" w:rsidP="00986337">
      <w:pPr>
        <w:numPr>
          <w:ilvl w:val="0"/>
          <w:numId w:val="14"/>
        </w:numPr>
      </w:pPr>
      <w:hyperlink r:id="rId28" w:tgtFrame="_blank" w:history="1">
        <w:r w:rsidRPr="00986337">
          <w:rPr>
            <w:rStyle w:val="Hyperlink"/>
            <w:b/>
            <w:bCs/>
          </w:rPr>
          <w:t>RAG in 2025: Strategies to Deploy at Scale</w:t>
        </w:r>
      </w:hyperlink>
    </w:p>
    <w:p w14:paraId="35B6CF65" w14:textId="77777777" w:rsidR="00986337" w:rsidRPr="00986337" w:rsidRDefault="00986337" w:rsidP="00986337">
      <w:pPr>
        <w:numPr>
          <w:ilvl w:val="1"/>
          <w:numId w:val="14"/>
        </w:numPr>
      </w:pPr>
      <w:r w:rsidRPr="00986337">
        <w:rPr>
          <w:b/>
          <w:bCs/>
        </w:rPr>
        <w:t>Why:</w:t>
      </w:r>
      <w:r w:rsidRPr="00986337">
        <w:t xml:space="preserve"> This justifies your </w:t>
      </w:r>
      <w:r w:rsidRPr="00986337">
        <w:rPr>
          <w:b/>
          <w:bCs/>
        </w:rPr>
        <w:t>MongoDB Atlas Vector Search</w:t>
      </w:r>
      <w:r w:rsidRPr="00986337">
        <w:t xml:space="preserve">. It explains how to retrieve "Context" for the AI to understand </w:t>
      </w:r>
      <w:r w:rsidRPr="00986337">
        <w:rPr>
          <w:i/>
          <w:iCs/>
        </w:rPr>
        <w:t>why</w:t>
      </w:r>
      <w:r w:rsidRPr="00986337">
        <w:t xml:space="preserve"> a specific battery is failing.</w:t>
      </w:r>
    </w:p>
    <w:p w14:paraId="413F37B3" w14:textId="77777777" w:rsidR="00986337" w:rsidRPr="00986337" w:rsidRDefault="00986337" w:rsidP="00986337">
      <w:pPr>
        <w:numPr>
          <w:ilvl w:val="0"/>
          <w:numId w:val="14"/>
        </w:numPr>
      </w:pPr>
      <w:hyperlink r:id="rId29" w:tgtFrame="_blank" w:history="1">
        <w:r w:rsidRPr="00986337">
          <w:rPr>
            <w:rStyle w:val="Hyperlink"/>
            <w:b/>
            <w:bCs/>
          </w:rPr>
          <w:t>Predictive Maintenance to RUL Prediction (2025)</w:t>
        </w:r>
      </w:hyperlink>
    </w:p>
    <w:p w14:paraId="314897FC" w14:textId="77777777" w:rsidR="00986337" w:rsidRPr="00986337" w:rsidRDefault="00986337" w:rsidP="00986337">
      <w:pPr>
        <w:numPr>
          <w:ilvl w:val="1"/>
          <w:numId w:val="14"/>
        </w:numPr>
      </w:pPr>
      <w:r w:rsidRPr="00986337">
        <w:rPr>
          <w:b/>
          <w:bCs/>
        </w:rPr>
        <w:t>Why:</w:t>
      </w:r>
      <w:r w:rsidRPr="00986337">
        <w:t xml:space="preserve"> This paper connects "Edge/Fog computing" with battery health. It validates your </w:t>
      </w:r>
      <w:r w:rsidRPr="00986337">
        <w:rPr>
          <w:b/>
          <w:bCs/>
        </w:rPr>
        <w:t>FastAPI + Local Ingestion</w:t>
      </w:r>
      <w:r w:rsidRPr="00986337">
        <w:t xml:space="preserve"> pipeline.</w:t>
      </w:r>
    </w:p>
    <w:p w14:paraId="48FB5CBD" w14:textId="77777777" w:rsidR="00986337" w:rsidRPr="00986337" w:rsidRDefault="00986337" w:rsidP="00986337">
      <w:r w:rsidRPr="00986337">
        <w:pict w14:anchorId="7BE47292">
          <v:rect id="_x0000_i1031" style="width:0;height:1.5pt" o:hralign="center" o:hrstd="t" o:hr="t" fillcolor="#a0a0a0" stroked="f"/>
        </w:pict>
      </w:r>
    </w:p>
    <w:p w14:paraId="6E218F5B" w14:textId="77777777" w:rsidR="00986337" w:rsidRPr="00986337" w:rsidRDefault="00986337" w:rsidP="00986337">
      <w:pPr>
        <w:rPr>
          <w:b/>
          <w:bCs/>
        </w:rPr>
      </w:pPr>
      <w:r w:rsidRPr="00986337">
        <w:rPr>
          <w:b/>
          <w:bCs/>
        </w:rPr>
        <w:t>Which one to use when?</w:t>
      </w:r>
    </w:p>
    <w:p w14:paraId="188587F4" w14:textId="77777777" w:rsidR="00986337" w:rsidRPr="00986337" w:rsidRDefault="00986337" w:rsidP="00986337">
      <w:pPr>
        <w:numPr>
          <w:ilvl w:val="0"/>
          <w:numId w:val="15"/>
        </w:numPr>
      </w:pPr>
      <w:r w:rsidRPr="00986337">
        <w:rPr>
          <w:b/>
          <w:bCs/>
        </w:rPr>
        <w:t>For your HOD:</w:t>
      </w:r>
      <w:r w:rsidRPr="00986337">
        <w:t xml:space="preserve"> Focus on papers </w:t>
      </w:r>
      <w:r w:rsidRPr="00986337">
        <w:rPr>
          <w:b/>
          <w:bCs/>
        </w:rPr>
        <w:t>#1, #2, #5, and #10</w:t>
      </w:r>
      <w:r w:rsidRPr="00986337">
        <w:t>. These are the "Heavy Math and Engineering" papers.</w:t>
      </w:r>
    </w:p>
    <w:p w14:paraId="55BD52B6" w14:textId="77777777" w:rsidR="00986337" w:rsidRPr="00986337" w:rsidRDefault="00986337" w:rsidP="00986337">
      <w:pPr>
        <w:numPr>
          <w:ilvl w:val="0"/>
          <w:numId w:val="15"/>
        </w:numPr>
      </w:pPr>
      <w:r w:rsidRPr="00986337">
        <w:rPr>
          <w:b/>
          <w:bCs/>
        </w:rPr>
        <w:t>For beVisioneers Fellowship:</w:t>
      </w:r>
      <w:r w:rsidRPr="00986337">
        <w:t xml:space="preserve"> Focus on papers </w:t>
      </w:r>
      <w:r w:rsidRPr="00986337">
        <w:rPr>
          <w:b/>
          <w:bCs/>
        </w:rPr>
        <w:t>#4, #7, and #8</w:t>
      </w:r>
      <w:r w:rsidRPr="00986337">
        <w:t>. These are the "Sustainability and Impact" papers.</w:t>
      </w:r>
    </w:p>
    <w:p w14:paraId="5B1AFD5C" w14:textId="77777777" w:rsidR="00986337" w:rsidRPr="00986337" w:rsidRDefault="00986337" w:rsidP="00986337">
      <w:pPr>
        <w:numPr>
          <w:ilvl w:val="0"/>
          <w:numId w:val="15"/>
        </w:numPr>
      </w:pPr>
      <w:r w:rsidRPr="00986337">
        <w:rPr>
          <w:b/>
          <w:bCs/>
        </w:rPr>
        <w:t>For your Mercedes Interview:</w:t>
      </w:r>
      <w:r w:rsidRPr="00986337">
        <w:t xml:space="preserve"> Focus on papers </w:t>
      </w:r>
      <w:r w:rsidRPr="00986337">
        <w:rPr>
          <w:b/>
          <w:bCs/>
        </w:rPr>
        <w:t>#3, #6, and #8</w:t>
      </w:r>
      <w:r w:rsidRPr="00986337">
        <w:t>. These show you have the "Tech Skills" and "Corporate Vision" they want.</w:t>
      </w:r>
    </w:p>
    <w:p w14:paraId="6398AC07" w14:textId="77777777" w:rsidR="00986337" w:rsidRDefault="00986337"/>
    <w:sectPr w:rsidR="009863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05B5"/>
    <w:multiLevelType w:val="multilevel"/>
    <w:tmpl w:val="445E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F38B6"/>
    <w:multiLevelType w:val="multilevel"/>
    <w:tmpl w:val="CFFA3CE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71248"/>
    <w:multiLevelType w:val="multilevel"/>
    <w:tmpl w:val="204E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2C61C7"/>
    <w:multiLevelType w:val="multilevel"/>
    <w:tmpl w:val="9D7E9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8A6826"/>
    <w:multiLevelType w:val="multilevel"/>
    <w:tmpl w:val="B46C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833C8"/>
    <w:multiLevelType w:val="multilevel"/>
    <w:tmpl w:val="833AEF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A23C9D"/>
    <w:multiLevelType w:val="multilevel"/>
    <w:tmpl w:val="4594D31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96210E"/>
    <w:multiLevelType w:val="multilevel"/>
    <w:tmpl w:val="9610781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101755"/>
    <w:multiLevelType w:val="multilevel"/>
    <w:tmpl w:val="AA60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72713"/>
    <w:multiLevelType w:val="multilevel"/>
    <w:tmpl w:val="754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C4903"/>
    <w:multiLevelType w:val="multilevel"/>
    <w:tmpl w:val="7FB2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E29A4"/>
    <w:multiLevelType w:val="multilevel"/>
    <w:tmpl w:val="745699D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E37812"/>
    <w:multiLevelType w:val="multilevel"/>
    <w:tmpl w:val="28FE0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D000E9"/>
    <w:multiLevelType w:val="multilevel"/>
    <w:tmpl w:val="5884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431301"/>
    <w:multiLevelType w:val="multilevel"/>
    <w:tmpl w:val="A44C8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870093">
    <w:abstractNumId w:val="3"/>
  </w:num>
  <w:num w:numId="2" w16cid:durableId="1774982681">
    <w:abstractNumId w:val="4"/>
  </w:num>
  <w:num w:numId="3" w16cid:durableId="71782884">
    <w:abstractNumId w:val="14"/>
  </w:num>
  <w:num w:numId="4" w16cid:durableId="421491922">
    <w:abstractNumId w:val="12"/>
  </w:num>
  <w:num w:numId="5" w16cid:durableId="1292786982">
    <w:abstractNumId w:val="13"/>
  </w:num>
  <w:num w:numId="6" w16cid:durableId="140122573">
    <w:abstractNumId w:val="10"/>
  </w:num>
  <w:num w:numId="7" w16cid:durableId="2126272418">
    <w:abstractNumId w:val="2"/>
  </w:num>
  <w:num w:numId="8" w16cid:durableId="176971134">
    <w:abstractNumId w:val="9"/>
  </w:num>
  <w:num w:numId="9" w16cid:durableId="996806457">
    <w:abstractNumId w:val="0"/>
  </w:num>
  <w:num w:numId="10" w16cid:durableId="197548446">
    <w:abstractNumId w:val="5"/>
  </w:num>
  <w:num w:numId="11" w16cid:durableId="1844398828">
    <w:abstractNumId w:val="11"/>
  </w:num>
  <w:num w:numId="12" w16cid:durableId="154541388">
    <w:abstractNumId w:val="1"/>
  </w:num>
  <w:num w:numId="13" w16cid:durableId="1117988233">
    <w:abstractNumId w:val="6"/>
  </w:num>
  <w:num w:numId="14" w16cid:durableId="1479226225">
    <w:abstractNumId w:val="7"/>
  </w:num>
  <w:num w:numId="15" w16cid:durableId="18831331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6C4"/>
    <w:rsid w:val="00056A1E"/>
    <w:rsid w:val="001256C4"/>
    <w:rsid w:val="00151CAF"/>
    <w:rsid w:val="003177CD"/>
    <w:rsid w:val="003F4518"/>
    <w:rsid w:val="00422CB5"/>
    <w:rsid w:val="00775730"/>
    <w:rsid w:val="007E753F"/>
    <w:rsid w:val="007F51AA"/>
    <w:rsid w:val="00986337"/>
    <w:rsid w:val="00AD64A4"/>
    <w:rsid w:val="00EB02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0A633"/>
  <w15:chartTrackingRefBased/>
  <w15:docId w15:val="{67C0F327-3ACC-4A02-81CE-9B4D75BAA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6C4"/>
    <w:rPr>
      <w:rFonts w:eastAsiaTheme="majorEastAsia" w:cstheme="majorBidi"/>
      <w:color w:val="272727" w:themeColor="text1" w:themeTint="D8"/>
    </w:rPr>
  </w:style>
  <w:style w:type="paragraph" w:styleId="Title">
    <w:name w:val="Title"/>
    <w:basedOn w:val="Normal"/>
    <w:next w:val="Normal"/>
    <w:link w:val="TitleChar"/>
    <w:uiPriority w:val="10"/>
    <w:qFormat/>
    <w:rsid w:val="00125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6C4"/>
    <w:pPr>
      <w:spacing w:before="160"/>
      <w:jc w:val="center"/>
    </w:pPr>
    <w:rPr>
      <w:i/>
      <w:iCs/>
      <w:color w:val="404040" w:themeColor="text1" w:themeTint="BF"/>
    </w:rPr>
  </w:style>
  <w:style w:type="character" w:customStyle="1" w:styleId="QuoteChar">
    <w:name w:val="Quote Char"/>
    <w:basedOn w:val="DefaultParagraphFont"/>
    <w:link w:val="Quote"/>
    <w:uiPriority w:val="29"/>
    <w:rsid w:val="001256C4"/>
    <w:rPr>
      <w:i/>
      <w:iCs/>
      <w:color w:val="404040" w:themeColor="text1" w:themeTint="BF"/>
    </w:rPr>
  </w:style>
  <w:style w:type="paragraph" w:styleId="ListParagraph">
    <w:name w:val="List Paragraph"/>
    <w:basedOn w:val="Normal"/>
    <w:uiPriority w:val="34"/>
    <w:qFormat/>
    <w:rsid w:val="001256C4"/>
    <w:pPr>
      <w:ind w:left="720"/>
      <w:contextualSpacing/>
    </w:pPr>
  </w:style>
  <w:style w:type="character" w:styleId="IntenseEmphasis">
    <w:name w:val="Intense Emphasis"/>
    <w:basedOn w:val="DefaultParagraphFont"/>
    <w:uiPriority w:val="21"/>
    <w:qFormat/>
    <w:rsid w:val="001256C4"/>
    <w:rPr>
      <w:i/>
      <w:iCs/>
      <w:color w:val="0F4761" w:themeColor="accent1" w:themeShade="BF"/>
    </w:rPr>
  </w:style>
  <w:style w:type="paragraph" w:styleId="IntenseQuote">
    <w:name w:val="Intense Quote"/>
    <w:basedOn w:val="Normal"/>
    <w:next w:val="Normal"/>
    <w:link w:val="IntenseQuoteChar"/>
    <w:uiPriority w:val="30"/>
    <w:qFormat/>
    <w:rsid w:val="00125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6C4"/>
    <w:rPr>
      <w:i/>
      <w:iCs/>
      <w:color w:val="0F4761" w:themeColor="accent1" w:themeShade="BF"/>
    </w:rPr>
  </w:style>
  <w:style w:type="character" w:styleId="IntenseReference">
    <w:name w:val="Intense Reference"/>
    <w:basedOn w:val="DefaultParagraphFont"/>
    <w:uiPriority w:val="32"/>
    <w:qFormat/>
    <w:rsid w:val="001256C4"/>
    <w:rPr>
      <w:b/>
      <w:bCs/>
      <w:smallCaps/>
      <w:color w:val="0F4761" w:themeColor="accent1" w:themeShade="BF"/>
      <w:spacing w:val="5"/>
    </w:rPr>
  </w:style>
  <w:style w:type="character" w:styleId="Hyperlink">
    <w:name w:val="Hyperlink"/>
    <w:basedOn w:val="DefaultParagraphFont"/>
    <w:uiPriority w:val="99"/>
    <w:unhideWhenUsed/>
    <w:rsid w:val="00151CAF"/>
    <w:rPr>
      <w:color w:val="467886" w:themeColor="hyperlink"/>
      <w:u w:val="single"/>
    </w:rPr>
  </w:style>
  <w:style w:type="character" w:styleId="UnresolvedMention">
    <w:name w:val="Unresolved Mention"/>
    <w:basedOn w:val="DefaultParagraphFont"/>
    <w:uiPriority w:val="99"/>
    <w:semiHidden/>
    <w:unhideWhenUsed/>
    <w:rsid w:val="00151C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roup.mercedes-benz.com/sustainability/human-rights/supply-chains/risk-raw-materials.html" TargetMode="External"/><Relationship Id="rId18" Type="http://schemas.openxmlformats.org/officeDocument/2006/relationships/hyperlink" Target="https://morphik.ai/" TargetMode="External"/><Relationship Id="rId26" Type="http://schemas.openxmlformats.org/officeDocument/2006/relationships/hyperlink" Target="https://tracextech.com/eu-battery-regulation-2023-1542-compliance-guide/" TargetMode="External"/><Relationship Id="rId3" Type="http://schemas.openxmlformats.org/officeDocument/2006/relationships/settings" Target="settings.xml"/><Relationship Id="rId21" Type="http://schemas.openxmlformats.org/officeDocument/2006/relationships/hyperlink" Target="https://pmc.ncbi.nlm.nih.gov/articles/PMC12752999/" TargetMode="External"/><Relationship Id="rId7" Type="http://schemas.openxmlformats.org/officeDocument/2006/relationships/hyperlink" Target="https://group.mercedes-benz.com/sustainability/environment-climate/decarbonisation/ambition-2039-our-path-to-co2-neutrality.html" TargetMode="External"/><Relationship Id="rId12" Type="http://schemas.openxmlformats.org/officeDocument/2006/relationships/image" Target="media/image3.jpeg"/><Relationship Id="rId17" Type="http://schemas.openxmlformats.org/officeDocument/2006/relationships/image" Target="media/image5.png"/><Relationship Id="rId25" Type="http://schemas.openxmlformats.org/officeDocument/2006/relationships/hyperlink" Target="https://www.mdpi.com/2076-3417/15/21/11515" TargetMode="External"/><Relationship Id="rId2" Type="http://schemas.openxmlformats.org/officeDocument/2006/relationships/styles" Target="styles.xml"/><Relationship Id="rId16" Type="http://schemas.openxmlformats.org/officeDocument/2006/relationships/hyperlink" Target="https://medium.com/@aa779/rag-in-2025-7-proven-strategies-to-deploy-retrieval-augmented-generation-at-scale-d1f71dfbfbba" TargetMode="External"/><Relationship Id="rId20" Type="http://schemas.openxmlformats.org/officeDocument/2006/relationships/hyperlink" Target="https://www.researchgate.net/publication/400028168_Lithium-Ion_Battery_RUL_Prediction_Using_CNN-LSTM_Optimized_by_Improved_Artificial_Lemming_Algorithm" TargetMode="External"/><Relationship Id="rId29" Type="http://schemas.openxmlformats.org/officeDocument/2006/relationships/hyperlink" Target="https://www.mdpi.com/1424-8220/25/15/4782" TargetMode="External"/><Relationship Id="rId1" Type="http://schemas.openxmlformats.org/officeDocument/2006/relationships/numbering" Target="numbering.xml"/><Relationship Id="rId6" Type="http://schemas.openxmlformats.org/officeDocument/2006/relationships/hyperlink" Target="https://tracextech.com/eu-battery-regulation-2023-1542-compliance-guide/" TargetMode="External"/><Relationship Id="rId11" Type="http://schemas.openxmlformats.org/officeDocument/2006/relationships/image" Target="media/image2.jpeg"/><Relationship Id="rId24" Type="http://schemas.openxmlformats.org/officeDocument/2006/relationships/hyperlink" Target="https://www.researchgate.net/publication/400630363_Multi-Agent_Orchestration_for_Autonomous_Data_Pipelines_A_Systems_Architecture_for_Self-Healing_Context-Aware_and_Resilient_Data_Processing" TargetMode="External"/><Relationship Id="rId5" Type="http://schemas.openxmlformats.org/officeDocument/2006/relationships/hyperlink" Target="https://eur-lex.europa.eu/legal-content/EN/TXT/?uri=CELEX%3A32023R1542" TargetMode="External"/><Relationship Id="rId15" Type="http://schemas.openxmlformats.org/officeDocument/2006/relationships/hyperlink" Target="https://group.mercedes-benz.com/sustainability/resources-circularity/recycling/battery.html" TargetMode="External"/><Relationship Id="rId23" Type="http://schemas.openxmlformats.org/officeDocument/2006/relationships/hyperlink" Target="https://pmc.ncbi.nlm.nih.gov/articles/PMC12722349/" TargetMode="External"/><Relationship Id="rId28" Type="http://schemas.openxmlformats.org/officeDocument/2006/relationships/hyperlink" Target="https://medium.com/@aa779/rag-in-2025-7-proven-strategies-to-deploy-retrieval-augmented-generation-at-scale-d1f71dfbfbba" TargetMode="External"/><Relationship Id="rId10" Type="http://schemas.openxmlformats.org/officeDocument/2006/relationships/hyperlink" Target="https://group.mercedes-benz.com/sustainability/environment-climate/decarbonisation/green-power.html" TargetMode="External"/><Relationship Id="rId19" Type="http://schemas.openxmlformats.org/officeDocument/2006/relationships/hyperlink" Target="https://medium.com/blog/newsletter?source=promotion_paragraph---post_body_banner_beneficial_intelligence_nl--d1f71dfbfbba---------------------------------------"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roup.mercedes-benz.com/company/production/procuction-network/opening-factory-56.html" TargetMode="External"/><Relationship Id="rId14" Type="http://schemas.openxmlformats.org/officeDocument/2006/relationships/image" Target="media/image4.jpeg"/><Relationship Id="rId22" Type="http://schemas.openxmlformats.org/officeDocument/2006/relationships/hyperlink" Target="https://www.researchgate.net/publication/399869447_Edge-AI_Battery_Prognostics_System_for_EV_Batteries_Using_TinyML_Implementation" TargetMode="External"/><Relationship Id="rId27" Type="http://schemas.openxmlformats.org/officeDocument/2006/relationships/hyperlink" Target="https://group.mercedes-benz.com/sustainability/environment-climate/decarbonisation/ambition-2039-our-path-to-co2-neutrality.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18</Pages>
  <Words>5571</Words>
  <Characters>31757</Characters>
  <Application>Microsoft Office Word</Application>
  <DocSecurity>0</DocSecurity>
  <Lines>264</Lines>
  <Paragraphs>74</Paragraphs>
  <ScaleCrop>false</ScaleCrop>
  <Company/>
  <LinksUpToDate>false</LinksUpToDate>
  <CharactersWithSpaces>37254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CHIRANJEEVI CHIRANTH L</dc:creator>
  <cp:keywords/>
  <dc:description/>
  <cp:lastModifiedBy>CHIRANJEEVI CHIRANTH L</cp:lastModifiedBy>
  <cp:revision>10</cp:revision>
  <dcterms:created xsi:type="dcterms:W3CDTF">2026-04-20T13:40:00Z</dcterms:created>
  <dcterms:modified xsi:type="dcterms:W3CDTF">2026-04-20T13:52:00Z</dcterms:modified>
</cp:coreProperties>
</file>