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center"/>
      </w:pPr>
      <w:r>
        <w:rPr>
          <w:rFonts w:ascii="Times New Roman" w:cs="Times New Roman" w:eastAsia="Times New Roman" w:hAnsi="Times New Roman"/>
          <w:b/>
          <w:bCs/>
          <w:sz w:val="48"/>
          <w:szCs w:val="48"/>
        </w:rPr>
        <w:t xml:space="preserve">A Citation-Faithful Retrieval-Augmented Generation Pipeline for Radiology Consult Support Grounded in the ACR Appropriateness Criteria</w:t>
      </w:r>
    </w:p>
    <w:p>
      <w:pPr>
        <w:spacing w:after="60" w:before="0" w:line="240"/>
        <w:jc w:val="center"/>
      </w:pPr>
      <w:r>
        <w:rPr>
          <w:rFonts w:ascii="Times New Roman" w:cs="Times New Roman" w:eastAsia="Times New Roman" w:hAnsi="Times New Roman"/>
          <w:i w:val="false"/>
          <w:iCs w:val="false"/>
          <w:sz w:val="22"/>
          <w:szCs w:val="22"/>
        </w:rPr>
        <w:t xml:space="preserve">[Author Name]</w:t>
      </w:r>
    </w:p>
    <w:p>
      <w:pPr>
        <w:spacing w:after="60" w:before="0" w:line="240"/>
        <w:jc w:val="center"/>
      </w:pPr>
      <w:r>
        <w:rPr>
          <w:rFonts w:ascii="Times New Roman" w:cs="Times New Roman" w:eastAsia="Times New Roman" w:hAnsi="Times New Roman"/>
          <w:i w:val="false"/>
          <w:iCs w:val="false"/>
          <w:sz w:val="22"/>
          <w:szCs w:val="22"/>
        </w:rPr>
        <w:t xml:space="preserve">[Department / Affiliation]</w:t>
      </w:r>
    </w:p>
    <w:p>
      <w:pPr>
        <w:spacing w:after="60" w:before="0" w:line="240"/>
        <w:jc w:val="center"/>
      </w:pPr>
      <w:r>
        <w:rPr>
          <w:rFonts w:ascii="Times New Roman" w:cs="Times New Roman" w:eastAsia="Times New Roman" w:hAnsi="Times New Roman"/>
          <w:i w:val="false"/>
          <w:iCs w:val="false"/>
          <w:sz w:val="22"/>
          <w:szCs w:val="22"/>
        </w:rPr>
        <w:t xml:space="preserve">[City, Country]</w:t>
      </w:r>
    </w:p>
    <w:p>
      <w:pPr>
        <w:spacing w:after="60" w:before="0" w:line="240"/>
        <w:jc w:val="center"/>
      </w:pPr>
      <w:r>
        <w:rPr>
          <w:rFonts w:ascii="Times New Roman" w:cs="Times New Roman" w:eastAsia="Times New Roman" w:hAnsi="Times New Roman"/>
          <w:i w:val="false"/>
          <w:iCs w:val="false"/>
          <w:sz w:val="22"/>
          <w:szCs w:val="22"/>
        </w:rPr>
        <w:t xml:space="preserve">[email@domain]</w:t>
      </w:r>
    </w:p>
    <w:p>
      <w:pPr>
        <w:sectPr>
          <w:type w:val="continuous"/>
          <w:pgSz w:w="12240" w:h="15840" w:orient="portrait"/>
          <w:pgMar w:top="1080" w:right="900" w:bottom="1440" w:left="900" w:header="708" w:footer="708" w:gutter="0"/>
          <w:pgNumType/>
          <w:cols w:space="360" w:num="1" w:sep="false" w:equalWidth="true"/>
          <w:docGrid w:linePitch="360"/>
        </w:sectPr>
      </w:pPr>
    </w:p>
    <w:p>
      <w:pPr>
        <w:spacing w:after="120" w:before="0" w:line="220"/>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 Large language models (LLMs) achieve strong accuracy on medical question-answering benchmarks, but they remain unsafe for direct clinical use because they fabricate plausible-looking but unsupported claims. We present an end-to-end retrieval-augmented generation (RAG) pipeline for radiology consult support, grounded in the American College of Radiology (ACR) Appropriateness Criteria. The system combines (i) a BM25 retriever over variant-level chunks with keyword amplification for specialised-population variants, (ii) an absolute-score retrieval gate that surfaces an explicit INSUFFICIENT_EVIDENCE response when no chunk crosses threshold, (iii) a structured-JSON generator constrained by an in-prompt grounding contract, and (iv) a deterministic post-hoc citation validator that strips any recommendation whose citation_id does not match a real retrieved chunk. On an eight-scenario in-domain evaluation set covering thunderclap headache, low back pain, low-risk acute coronary syndrome, suspected appendicitis (adult, pregnant, pediatric), and suspected pulmonary embolism (general, pregnant), the system achieves 100.0% topic accuracy, 87.5% variant accuracy, 87.5% top-procedure accuracy, 87.5% appropriateness concordance, and 100.0% citation fidelity, with end-to-end pipeline overhead of 0.04 ms per query. The single in-domain miss is a negation case that BM25 cannot represent and that we identify as the natural boundary at which to escalate to a polarity-aware retriever. We argue that the two-layer faithfulness guardrail is what makes the resulting system safe to deploy in a consult-support workflow.</w:t>
      </w:r>
    </w:p>
    <w:p>
      <w:pPr>
        <w:spacing w:after="200" w:before="0" w:line="220"/>
        <w:ind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 Retrieval-augmented generation, large language models, clinical decision support, radiology, ACR Appropriateness Criteria, citation faithfulness, abstention, selective prediction.</w:t>
      </w:r>
    </w:p>
    <w:p>
      <w:pPr>
        <w:spacing w:after="80" w:before="200" w:line="240"/>
        <w:jc w:val="center"/>
      </w:pPr>
      <w:r>
        <w:rPr>
          <w:rFonts w:ascii="Times New Roman" w:cs="Times New Roman" w:eastAsia="Times New Roman" w:hAnsi="Times New Roman"/>
          <w:b/>
          <w:bCs/>
          <w:smallCaps/>
          <w:sz w:val="20"/>
          <w:szCs w:val="20"/>
        </w:rPr>
        <w:t xml:space="preserve">I. Introduction</w:t>
      </w:r>
    </w:p>
    <w:p>
      <w:pPr>
        <w:spacing w:after="80" w:before="0" w:line="240"/>
        <w:ind w:firstLine="200"/>
        <w:jc w:val="both"/>
      </w:pPr>
      <w:r>
        <w:rPr>
          <w:rFonts w:ascii="Times New Roman" w:cs="Times New Roman" w:eastAsia="Times New Roman" w:hAnsi="Times New Roman"/>
          <w:sz w:val="20"/>
          <w:szCs w:val="20"/>
        </w:rPr>
        <w:t xml:space="preserve">Diagnostic imaging is the largest and fastest-growing segment of U.S. medical procedure volume; a non-trivial fraction of that growth is attributable to discordance with evidence-based appropriateness guidance [1], [2]. The American College of Radiology (ACR) Appropriateness Criteria (ACR-AC) is the canonical synthesis of that evidence [3], [4]: panel-curated, regularly updated, and structured as a mapping from clinical scenarios ("variants") to ranked imaging procedures with appropriateness ratings on a 1–9 scale and Relative Radiation Level (RRL) annotations. Despite three decades of effort and federal incentives that mandate clinical decision support, ACR-AC adoption at the point of care remains modest [5].</w:t>
      </w:r>
    </w:p>
    <w:p>
      <w:pPr>
        <w:spacing w:after="80" w:before="0" w:line="240"/>
        <w:ind w:firstLine="200"/>
        <w:jc w:val="both"/>
      </w:pPr>
      <w:r>
        <w:rPr>
          <w:rFonts w:ascii="Times New Roman" w:cs="Times New Roman" w:eastAsia="Times New Roman" w:hAnsi="Times New Roman"/>
          <w:sz w:val="20"/>
          <w:szCs w:val="20"/>
        </w:rPr>
        <w:t xml:space="preserve">Large language models (LLMs) have shown encouraging performance on medical question answering [6], [7], [8], [9], but unaided LLMs do not reliably improve physician diagnostic reasoning in randomised trials [10], and they continue to fabricate uncited claims at clinically meaningful rates in radiology contexts [11], [12], [13].</w:t>
      </w:r>
    </w:p>
    <w:p>
      <w:pPr>
        <w:spacing w:after="80" w:before="0" w:line="240"/>
        <w:ind w:firstLine="200"/>
        <w:jc w:val="both"/>
      </w:pPr>
      <w:r>
        <w:rPr>
          <w:rFonts w:ascii="Times New Roman" w:cs="Times New Roman" w:eastAsia="Times New Roman" w:hAnsi="Times New Roman"/>
          <w:sz w:val="20"/>
          <w:szCs w:val="20"/>
        </w:rPr>
        <w:t xml:space="preserve">We address three failure modes that must be eliminated by construction, not merely reduced statistically: (i) recommending a procedure not in official guidance for the matched variant; (ii) attaching the wrong appropriateness rating to a real procedure; and (iii) attributing a recommendation to a citation that does not exist [14], [15]. Our contributions are:</w:t>
      </w:r>
    </w:p>
    <w:p>
      <w:pPr>
        <w:pStyle w:val="ListParagraph"/>
        <w:numPr>
          <w:ilvl w:val="0"/>
          <w:numId w:val="2"/>
        </w:numPr>
        <w:spacing w:after="60" w:before="0" w:line="240"/>
      </w:pPr>
      <w:r>
        <w:rPr>
          <w:rFonts w:ascii="Times New Roman" w:cs="Times New Roman" w:eastAsia="Times New Roman" w:hAnsi="Times New Roman"/>
          <w:sz w:val="20"/>
          <w:szCs w:val="20"/>
        </w:rPr>
        <w:t xml:space="preserve">An ACR-AC-grounded RAG architecture using variant-level chunking with keyword amplification that allows BM25 to reliably distinguish between variants of the same topic.</w:t>
      </w:r>
    </w:p>
    <w:p>
      <w:pPr>
        <w:pStyle w:val="ListParagraph"/>
        <w:numPr>
          <w:ilvl w:val="0"/>
          <w:numId w:val="2"/>
        </w:numPr>
        <w:spacing w:after="60" w:before="0" w:line="240"/>
      </w:pPr>
      <w:r>
        <w:rPr>
          <w:rFonts w:ascii="Times New Roman" w:cs="Times New Roman" w:eastAsia="Times New Roman" w:hAnsi="Times New Roman"/>
          <w:sz w:val="20"/>
          <w:szCs w:val="20"/>
        </w:rPr>
        <w:t xml:space="preserve">An absolute-score retrieval gate implementing an explicit INSUFFICIENT_EVIDENCE abstention path in the spirit of selective prediction [16], [17].</w:t>
      </w:r>
    </w:p>
    <w:p>
      <w:pPr>
        <w:pStyle w:val="ListParagraph"/>
        <w:numPr>
          <w:ilvl w:val="0"/>
          <w:numId w:val="2"/>
        </w:numPr>
        <w:spacing w:after="60" w:before="0" w:line="240"/>
      </w:pPr>
      <w:r>
        <w:rPr>
          <w:rFonts w:ascii="Times New Roman" w:cs="Times New Roman" w:eastAsia="Times New Roman" w:hAnsi="Times New Roman"/>
          <w:sz w:val="20"/>
          <w:szCs w:val="20"/>
        </w:rPr>
        <w:t xml:space="preserve">A two-layer citation-faithfulness guardrail: an in-prompt grounding contract plus a deterministic post-hoc validator that strips any recommendation whose citation_id does not match a real retrieved chunk.</w:t>
      </w:r>
    </w:p>
    <w:p>
      <w:pPr>
        <w:pStyle w:val="ListParagraph"/>
        <w:numPr>
          <w:ilvl w:val="0"/>
          <w:numId w:val="2"/>
        </w:numPr>
        <w:spacing w:after="60" w:before="0" w:line="240"/>
      </w:pPr>
      <w:r>
        <w:rPr>
          <w:rFonts w:ascii="Times New Roman" w:cs="Times New Roman" w:eastAsia="Times New Roman" w:hAnsi="Times New Roman"/>
          <w:sz w:val="20"/>
          <w:szCs w:val="20"/>
        </w:rPr>
        <w:t xml:space="preserve">A four-metric evaluation harness — topic accuracy, variant accuracy, appropriateness concordance, citation fidelity — and an open eight-scenario test set; the system achieves 100.0% topic accuracy and 100.0% citation fidelity, with one variant-level miss on a documented negation case.</w:t>
      </w:r>
    </w:p>
    <w:p>
      <w:pPr>
        <w:spacing w:after="80" w:before="200" w:line="240"/>
        <w:jc w:val="center"/>
      </w:pPr>
      <w:r>
        <w:rPr>
          <w:rFonts w:ascii="Times New Roman" w:cs="Times New Roman" w:eastAsia="Times New Roman" w:hAnsi="Times New Roman"/>
          <w:b/>
          <w:bCs/>
          <w:smallCaps/>
          <w:sz w:val="20"/>
          <w:szCs w:val="20"/>
        </w:rPr>
        <w:t xml:space="preserve">II. Related Work</w:t>
      </w:r>
    </w:p>
    <w:p>
      <w:pPr>
        <w:spacing w:after="40" w:before="120" w:line="240"/>
        <w:jc w:val="left"/>
      </w:pPr>
      <w:r>
        <w:rPr>
          <w:rFonts w:ascii="Times New Roman" w:cs="Times New Roman" w:eastAsia="Times New Roman" w:hAnsi="Times New Roman"/>
          <w:i/>
          <w:iCs/>
          <w:sz w:val="20"/>
          <w:szCs w:val="20"/>
        </w:rPr>
        <w:t xml:space="preserve">A. Retrieval-augmented generation</w:t>
      </w:r>
    </w:p>
    <w:p>
      <w:pPr>
        <w:spacing w:after="80" w:before="0" w:line="240"/>
        <w:ind w:firstLine="200"/>
        <w:jc w:val="both"/>
      </w:pPr>
      <w:r>
        <w:rPr>
          <w:rFonts w:ascii="Times New Roman" w:cs="Times New Roman" w:eastAsia="Times New Roman" w:hAnsi="Times New Roman"/>
          <w:sz w:val="20"/>
          <w:szCs w:val="20"/>
        </w:rPr>
        <w:t xml:space="preserve">RAG [18] pairs a parametric LM with a non-parametric retriever; the paradigm scales from open-domain QA [19], [20], [21] to trillion-token corpora [22], and now serves as the dominant approach for grounding LLM outputs [23], [24]. We adopt the in-context, no-fine-tuning RAG variant: passages are prepended to the prompt and the generator's only job is to produce structured output that respects them.</w:t>
      </w:r>
    </w:p>
    <w:p>
      <w:pPr>
        <w:spacing w:after="40" w:before="120" w:line="240"/>
        <w:jc w:val="left"/>
      </w:pPr>
      <w:r>
        <w:rPr>
          <w:rFonts w:ascii="Times New Roman" w:cs="Times New Roman" w:eastAsia="Times New Roman" w:hAnsi="Times New Roman"/>
          <w:i/>
          <w:iCs/>
          <w:sz w:val="20"/>
          <w:szCs w:val="20"/>
        </w:rPr>
        <w:t xml:space="preserve">B. Faithfulness, attribution, abstention</w:t>
      </w:r>
    </w:p>
    <w:p>
      <w:pPr>
        <w:spacing w:after="80" w:before="0" w:line="240"/>
        <w:ind w:firstLine="200"/>
        <w:jc w:val="both"/>
      </w:pPr>
      <w:r>
        <w:rPr>
          <w:rFonts w:ascii="Times New Roman" w:cs="Times New Roman" w:eastAsia="Times New Roman" w:hAnsi="Times New Roman"/>
          <w:sz w:val="20"/>
          <w:szCs w:val="20"/>
        </w:rPr>
        <w:t xml:space="preserve">Hallucination remains the central reliability obstacle for LLM deployment [25], [26]. Retrieval grounding reduces but does not eliminate it [27], motivating an explicit attribution layer [15], [14] and post-hoc revision pipelines such as RARR [28]. The complementary problem — knowing when not to answer — is studied as selective prediction [16], [17] and surveyed alongside other mitigation techniques in [29].</w:t>
      </w:r>
    </w:p>
    <w:p>
      <w:pPr>
        <w:spacing w:after="40" w:before="120" w:line="240"/>
        <w:jc w:val="left"/>
      </w:pPr>
      <w:r>
        <w:rPr>
          <w:rFonts w:ascii="Times New Roman" w:cs="Times New Roman" w:eastAsia="Times New Roman" w:hAnsi="Times New Roman"/>
          <w:i/>
          <w:iCs/>
          <w:sz w:val="20"/>
          <w:szCs w:val="20"/>
        </w:rPr>
        <w:t xml:space="preserve">C. LLMs in radiology</w:t>
      </w:r>
    </w:p>
    <w:p>
      <w:pPr>
        <w:spacing w:after="80" w:before="0" w:line="240"/>
        <w:ind w:firstLine="200"/>
        <w:jc w:val="both"/>
      </w:pPr>
      <w:r>
        <w:rPr>
          <w:rFonts w:ascii="Times New Roman" w:cs="Times New Roman" w:eastAsia="Times New Roman" w:hAnsi="Times New Roman"/>
          <w:sz w:val="20"/>
          <w:szCs w:val="20"/>
        </w:rPr>
        <w:t xml:space="preserve">ChatGPT-class systems pass radiology board-style exams but exhibit higher-order reasoning weaknesses [11], transform free-text reports into structured form [30], and serve as decision-support adjuncts with mixed results [31], [32], [12], [13]. The closest peer-reviewed prior is Rau et al. [33], who showed that an ACR-AC-grounded chatbot outperformed both generic ChatGPT and trained radiologists. Our work extends that direction by adding explicit citation validation, an abstention path, and a quantitative four-metric harness.</w:t>
      </w:r>
    </w:p>
    <w:p>
      <w:pPr>
        <w:spacing w:after="40" w:before="120" w:line="240"/>
        <w:jc w:val="left"/>
      </w:pPr>
      <w:r>
        <w:rPr>
          <w:rFonts w:ascii="Times New Roman" w:cs="Times New Roman" w:eastAsia="Times New Roman" w:hAnsi="Times New Roman"/>
          <w:i/>
          <w:iCs/>
          <w:sz w:val="20"/>
          <w:szCs w:val="20"/>
        </w:rPr>
        <w:t xml:space="preserve">D. Medical RAG</w:t>
      </w:r>
    </w:p>
    <w:p>
      <w:pPr>
        <w:spacing w:after="80" w:before="0" w:line="240"/>
        <w:ind w:firstLine="200"/>
        <w:jc w:val="both"/>
      </w:pPr>
      <w:r>
        <w:rPr>
          <w:rFonts w:ascii="Times New Roman" w:cs="Times New Roman" w:eastAsia="Times New Roman" w:hAnsi="Times New Roman"/>
          <w:sz w:val="20"/>
          <w:szCs w:val="20"/>
        </w:rPr>
        <w:t xml:space="preserve">MedRAG [34] benchmarks medical RAG over five corpora and documents "lost-in-the-middle" effects [35] we mitigate via small variant chunks. Almanac [36] is the closest peer-reviewed clinical RAG system; we adopt its factuality / completeness / safety evaluation framing.</w:t>
      </w:r>
    </w:p>
    <w:p>
      <w:pPr>
        <w:spacing w:after="80" w:before="200" w:line="240"/>
        <w:jc w:val="center"/>
      </w:pPr>
      <w:r>
        <w:rPr>
          <w:rFonts w:ascii="Times New Roman" w:cs="Times New Roman" w:eastAsia="Times New Roman" w:hAnsi="Times New Roman"/>
          <w:b/>
          <w:bCs/>
          <w:smallCaps/>
          <w:sz w:val="20"/>
          <w:szCs w:val="20"/>
        </w:rPr>
        <w:t xml:space="preserve">III. System Design</w:t>
      </w:r>
    </w:p>
    <w:p>
      <w:pPr>
        <w:spacing w:after="40" w:before="120" w:line="240"/>
        <w:jc w:val="left"/>
      </w:pPr>
      <w:r>
        <w:rPr>
          <w:rFonts w:ascii="Times New Roman" w:cs="Times New Roman" w:eastAsia="Times New Roman" w:hAnsi="Times New Roman"/>
          <w:i/>
          <w:iCs/>
          <w:sz w:val="20"/>
          <w:szCs w:val="20"/>
        </w:rPr>
        <w:t xml:space="preserve">A. Architecture</w:t>
      </w:r>
    </w:p>
    <w:p>
      <w:pPr>
        <w:spacing w:after="80" w:before="0" w:line="240"/>
        <w:ind w:firstLine="200"/>
        <w:jc w:val="both"/>
      </w:pPr>
      <w:r>
        <w:rPr>
          <w:rFonts w:ascii="Times New Roman" w:cs="Times New Roman" w:eastAsia="Times New Roman" w:hAnsi="Times New Roman"/>
          <w:sz w:val="20"/>
          <w:szCs w:val="20"/>
        </w:rPr>
        <w:t xml:space="preserve">The system has four stateless stages composed by a single ConsultPipeline class. Free-text scenarios enter through a FastAPI endpoint; the pipeline invokes the BM25 retriever, then the abstention gate, then the LLM generator, then the citation validator. Fig. 1 shows the data flow.</w:t>
      </w:r>
    </w:p>
    <w:p>
      <w:pPr>
        <w:spacing w:after="100" w:before="60" w:line="220"/>
        <w:ind w:left="200"/>
        <w:jc w:val="left"/>
      </w:pPr>
      <w:r>
        <w:rPr>
          <w:rFonts w:ascii="Consolas" w:cs="Consolas" w:eastAsia="Consolas" w:hAnsi="Consolas"/>
          <w:sz w:val="16"/>
          <w:szCs w:val="16"/>
        </w:rPr>
        <w:t xml:space="preserve">scenario
   ↓
BM25 retriever (variant chunks)
   ↓
[ top score ≥ 2.0 ? ]
   no  → INSUFFICIENT_EVIDENCE
   yes → top-k chunks
   ↓
LLM generator (in-prompt contract)
   ↓
Post-hoc citation validator
   ↓
Structured JSON response</w:t>
      </w:r>
    </w:p>
    <w:p>
      <w:pPr>
        <w:spacing w:after="160" w:before="40" w:line="220"/>
        <w:jc w:val="center"/>
      </w:pPr>
      <w:r>
        <w:rPr>
          <w:rFonts w:ascii="Times New Roman" w:cs="Times New Roman" w:eastAsia="Times New Roman" w:hAnsi="Times New Roman"/>
          <w:i/>
          <w:iCs/>
          <w:sz w:val="16"/>
          <w:szCs w:val="16"/>
        </w:rPr>
        <w:t xml:space="preserve">Fig. 1. End-to-end pipeline. Two safety layers — a retrieval-side abstention gate and a generation-side citation validator — operate independently.</w:t>
      </w:r>
    </w:p>
    <w:p>
      <w:pPr>
        <w:spacing w:after="40" w:before="120" w:line="240"/>
        <w:jc w:val="left"/>
      </w:pPr>
      <w:r>
        <w:rPr>
          <w:rFonts w:ascii="Times New Roman" w:cs="Times New Roman" w:eastAsia="Times New Roman" w:hAnsi="Times New Roman"/>
          <w:i/>
          <w:iCs/>
          <w:sz w:val="20"/>
          <w:szCs w:val="20"/>
        </w:rPr>
        <w:t xml:space="preserve">B. Knowledge base and chunking</w:t>
      </w:r>
    </w:p>
    <w:p>
      <w:pPr>
        <w:spacing w:after="80" w:before="0" w:line="240"/>
        <w:ind w:firstLine="200"/>
        <w:jc w:val="both"/>
      </w:pPr>
      <w:r>
        <w:rPr>
          <w:rFonts w:ascii="Times New Roman" w:cs="Times New Roman" w:eastAsia="Times New Roman" w:hAnsi="Times New Roman"/>
          <w:sz w:val="20"/>
          <w:szCs w:val="20"/>
        </w:rPr>
        <w:t xml:space="preserve">The seed knowledge base mirrors the official ACR-AC schema. Each topic contains variants; each variant has a clinical scenario, keyword set, and a procedure list with 1–9 appropriateness rating, RRL, and IV-contrast flag. We chunk at the variant level: every chunk is a self-contained, citable unit that maps 1:1 to a recommendation list. The seed contains five topics expanding to twelve variant chunks. The official ACR-AC content is copyrighted; we use a synthetic illustrative encoding faithful to the real schema so that licensed ingestion is a drop-in replacement.</w:t>
      </w:r>
    </w:p>
    <w:p>
      <w:pPr>
        <w:spacing w:after="40" w:before="120" w:line="240"/>
        <w:jc w:val="left"/>
      </w:pPr>
      <w:r>
        <w:rPr>
          <w:rFonts w:ascii="Times New Roman" w:cs="Times New Roman" w:eastAsia="Times New Roman" w:hAnsi="Times New Roman"/>
          <w:i/>
          <w:iCs/>
          <w:sz w:val="20"/>
          <w:szCs w:val="20"/>
        </w:rPr>
        <w:t xml:space="preserve">C. BM25 retriever with keyword amplification</w:t>
      </w:r>
    </w:p>
    <w:p>
      <w:pPr>
        <w:spacing w:after="80" w:before="0" w:line="240"/>
        <w:ind w:firstLine="200"/>
        <w:jc w:val="both"/>
      </w:pPr>
      <w:r>
        <w:rPr>
          <w:rFonts w:ascii="Times New Roman" w:cs="Times New Roman" w:eastAsia="Times New Roman" w:hAnsi="Times New Roman"/>
          <w:sz w:val="20"/>
          <w:szCs w:val="20"/>
        </w:rPr>
        <w:t xml:space="preserve">The retriever is BM25Okapi [37], [38] over a token stream that flattens each variant into a passage containing topic name, scenario, topic keywords, and variant keywords. A consequential design choice: variant-level keywords are repeated three times in the indexed text. Without amplification, common topic tokens dominate the BM25 score and the most "generic" variant of a topic almost always wins retrieval, even when a specialised variant (pregnant, pediatric, red-flag) is the correct match. The 3× repetition gives variant-specific tokens enough lexical mass to outweigh the shared topic baseline.</w:t>
      </w:r>
    </w:p>
    <w:p>
      <w:pPr>
        <w:spacing w:after="40" w:before="120" w:line="240"/>
        <w:jc w:val="left"/>
      </w:pPr>
      <w:r>
        <w:rPr>
          <w:rFonts w:ascii="Times New Roman" w:cs="Times New Roman" w:eastAsia="Times New Roman" w:hAnsi="Times New Roman"/>
          <w:i/>
          <w:iCs/>
          <w:sz w:val="20"/>
          <w:szCs w:val="20"/>
        </w:rPr>
        <w:t xml:space="preserve">D. INSUFFICIENT_EVIDENCE abstention gate</w:t>
      </w:r>
    </w:p>
    <w:p>
      <w:pPr>
        <w:spacing w:after="80" w:before="0" w:line="240"/>
        <w:ind w:firstLine="200"/>
        <w:jc w:val="both"/>
      </w:pPr>
      <w:r>
        <w:rPr>
          <w:rFonts w:ascii="Times New Roman" w:cs="Times New Roman" w:eastAsia="Times New Roman" w:hAnsi="Times New Roman"/>
          <w:sz w:val="20"/>
          <w:szCs w:val="20"/>
        </w:rPr>
        <w:t xml:space="preserve">An absolute-score floor (top BM25 ≥ 2.0) is applied at retrieval time. Off-topic queries match only on rare incidental tokens and score below ~1.5; legitimate medical queries with topic-specific vocabulary score above 5. When the top score is below the floor, the retriever returns empty and the pipeline emits INSUFFICIENT_EVIDENCE with an empty recommendation list. This is a deliberately minimal selective-prediction gate [16], [17]: a single integer comparison, fully audit-able from the request trace.</w:t>
      </w:r>
    </w:p>
    <w:p>
      <w:pPr>
        <w:spacing w:after="40" w:before="120" w:line="240"/>
        <w:jc w:val="left"/>
      </w:pPr>
      <w:r>
        <w:rPr>
          <w:rFonts w:ascii="Times New Roman" w:cs="Times New Roman" w:eastAsia="Times New Roman" w:hAnsi="Times New Roman"/>
          <w:i/>
          <w:iCs/>
          <w:sz w:val="20"/>
          <w:szCs w:val="20"/>
        </w:rPr>
        <w:t xml:space="preserve">E. Generator with in-prompt grounding contract</w:t>
      </w:r>
    </w:p>
    <w:p>
      <w:pPr>
        <w:spacing w:after="80" w:before="0" w:line="240"/>
        <w:ind w:firstLine="200"/>
        <w:jc w:val="both"/>
      </w:pPr>
      <w:r>
        <w:rPr>
          <w:rFonts w:ascii="Times New Roman" w:cs="Times New Roman" w:eastAsia="Times New Roman" w:hAnsi="Times New Roman"/>
          <w:sz w:val="20"/>
          <w:szCs w:val="20"/>
        </w:rPr>
        <w:t xml:space="preserve">The generator wraps Anthropic Claude (claude-opus-4-7) with a fixed system prompt enumerating six rules: (1) recommend only context procedures; (2) every recommendation must include a citation_id matching a retrieved chunk; (3) abstain on context mismatch; (4) return a single JSON object; (5) surface RRL and contrast flags; (6) order recommendations by appropriateness descending. A deterministic StubGenerator that constructs a structured response from the top retrieved chunk without calling the LLM lets the entire pipeline run without an API key, providing a stable retrieval-only baseline.</w:t>
      </w:r>
    </w:p>
    <w:p>
      <w:pPr>
        <w:spacing w:after="40" w:before="120" w:line="240"/>
        <w:jc w:val="left"/>
      </w:pPr>
      <w:r>
        <w:rPr>
          <w:rFonts w:ascii="Times New Roman" w:cs="Times New Roman" w:eastAsia="Times New Roman" w:hAnsi="Times New Roman"/>
          <w:i/>
          <w:iCs/>
          <w:sz w:val="20"/>
          <w:szCs w:val="20"/>
        </w:rPr>
        <w:t xml:space="preserve">F. Post-hoc citation validator</w:t>
      </w:r>
    </w:p>
    <w:p>
      <w:pPr>
        <w:spacing w:after="80" w:before="0" w:line="240"/>
        <w:ind w:firstLine="200"/>
        <w:jc w:val="both"/>
      </w:pPr>
      <w:r>
        <w:rPr>
          <w:rFonts w:ascii="Times New Roman" w:cs="Times New Roman" w:eastAsia="Times New Roman" w:hAnsi="Times New Roman"/>
          <w:sz w:val="20"/>
          <w:szCs w:val="20"/>
        </w:rPr>
        <w:t xml:space="preserve">After generation, the pipeline iterates over each recommendation, looks up its citation_id in the set of valid retrieved chunk IDs, and drops the recommendation if the citation does not validate. Rejected recommendations are surfaced separately for audit. This deterministic check is the second of two faithfulness guardrails. The two layers fail in different ways: the in-prompt contract changes the distribution of generated outputs toward citation-bearing recommendations; the post-hoc validator catches the residual fabrications by construction, conceptually a minimal instantiation of post-hoc revision [28] restricted to the citation-existence axis.</w:t>
      </w:r>
    </w:p>
    <w:p>
      <w:pPr>
        <w:spacing w:after="80" w:before="200" w:line="240"/>
        <w:jc w:val="center"/>
      </w:pPr>
      <w:r>
        <w:rPr>
          <w:rFonts w:ascii="Times New Roman" w:cs="Times New Roman" w:eastAsia="Times New Roman" w:hAnsi="Times New Roman"/>
          <w:b/>
          <w:bCs/>
          <w:smallCaps/>
          <w:sz w:val="20"/>
          <w:szCs w:val="20"/>
        </w:rPr>
        <w:t xml:space="preserve">IV. Experimental Setup</w:t>
      </w:r>
    </w:p>
    <w:p>
      <w:pPr>
        <w:spacing w:after="40" w:before="120" w:line="240"/>
        <w:jc w:val="left"/>
      </w:pPr>
      <w:r>
        <w:rPr>
          <w:rFonts w:ascii="Times New Roman" w:cs="Times New Roman" w:eastAsia="Times New Roman" w:hAnsi="Times New Roman"/>
          <w:i/>
          <w:iCs/>
          <w:sz w:val="20"/>
          <w:szCs w:val="20"/>
        </w:rPr>
        <w:t xml:space="preserve">A. Test set</w:t>
      </w:r>
    </w:p>
    <w:p>
      <w:pPr>
        <w:spacing w:after="80" w:before="0" w:line="240"/>
        <w:ind w:firstLine="200"/>
        <w:jc w:val="both"/>
      </w:pPr>
      <w:r>
        <w:rPr>
          <w:rFonts w:ascii="Times New Roman" w:cs="Times New Roman" w:eastAsia="Times New Roman" w:hAnsi="Times New Roman"/>
          <w:sz w:val="20"/>
          <w:szCs w:val="20"/>
        </w:rPr>
        <w:t xml:space="preserve">We construct an eight-scenario evaluation set covering the in-domain space of the seed KB, including special-population variants (pregnant, pediatric), red-flag variants, and one explicit negation case (LBP without red flags) on which we expect lexical retrieval to fail. Table I lists the scenarios with ground-truth labels.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480"/>
        <w:gridCol w:w="2520"/>
        <w:gridCol w:w="1080"/>
        <w:gridCol w:w="960"/>
      </w:tblGrid>
      <w:tr>
        <w:tc>
          <w:tcPr>
            <w:tcW w:type="dxa" w:w="4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ID</w:t>
            </w:r>
          </w:p>
        </w:tc>
        <w:tc>
          <w:tcPr>
            <w:tcW w:type="dxa" w:w="25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Scenario (abbrev.)</w:t>
            </w:r>
          </w:p>
        </w:tc>
        <w:tc>
          <w:tcPr>
            <w:tcW w:type="dxa" w:w="1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Variant</w:t>
            </w:r>
          </w:p>
        </w:tc>
        <w:tc>
          <w:tcPr>
            <w:tcW w:type="dxa" w:w="96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Top procedure</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e-001</w:t>
            </w:r>
          </w:p>
        </w:tc>
        <w:tc>
          <w:tcPr>
            <w:tcW w:type="dxa" w:w="2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42F sudden severe HA, worst-of-life</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HA v1</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CT head</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e-002</w:t>
            </w:r>
          </w:p>
        </w:tc>
        <w:tc>
          <w:tcPr>
            <w:tcW w:type="dxa" w:w="2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34M 3d mild LBP; NO red flags</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LBP v1</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 imaging</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e-003</w:t>
            </w:r>
          </w:p>
        </w:tc>
        <w:tc>
          <w:tcPr>
            <w:tcW w:type="dxa" w:w="2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67M LBP, prostate Ca, saddle anest.</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LBP v2</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MRI L w/wo</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e-004</w:t>
            </w:r>
          </w:p>
        </w:tc>
        <w:tc>
          <w:tcPr>
            <w:tcW w:type="dxa" w:w="2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55M acute CP, neg trop, non-dx ECG</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ACS v1</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CTA cor</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e-005</w:t>
            </w:r>
          </w:p>
        </w:tc>
        <w:tc>
          <w:tcPr>
            <w:tcW w:type="dxa" w:w="2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28F preg 2T RLQ pain, fever</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RLQ v2</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US RLQ</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e-006</w:t>
            </w:r>
          </w:p>
        </w:tc>
        <w:tc>
          <w:tcPr>
            <w:tcW w:type="dxa" w:w="2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8yo boy, RLQ pain, fever</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RLQ v3</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US RLQ</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e-007</w:t>
            </w:r>
          </w:p>
        </w:tc>
        <w:tc>
          <w:tcPr>
            <w:tcW w:type="dxa" w:w="2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45F dyspnea, intermed Wells</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PE v1</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CTA chest</w:t>
            </w:r>
          </w:p>
        </w:tc>
      </w:tr>
      <w:tr>
        <w:tc>
          <w:tcPr>
            <w:tcW w:type="dxa" w:w="4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e-008</w:t>
            </w:r>
          </w:p>
        </w:tc>
        <w:tc>
          <w:tcPr>
            <w:tcW w:type="dxa" w:w="2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30F preg 3T, dyspnea, susp PE</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PE v2</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US LE ven</w:t>
            </w:r>
          </w:p>
        </w:tc>
      </w:tr>
    </w:tbl>
    <w:p>
      <w:pPr>
        <w:spacing w:after="160" w:before="40" w:line="220"/>
        <w:jc w:val="center"/>
      </w:pPr>
      <w:r>
        <w:rPr>
          <w:rFonts w:ascii="Times New Roman" w:cs="Times New Roman" w:eastAsia="Times New Roman" w:hAnsi="Times New Roman"/>
          <w:i/>
          <w:iCs/>
          <w:sz w:val="16"/>
          <w:szCs w:val="16"/>
        </w:rPr>
        <w:t xml:space="preserve">TABLE I: Eight in-domain scenarios with ground-truth labels.</w:t>
      </w:r>
    </w:p>
    <w:p>
      <w:pPr>
        <w:spacing w:after="40" w:before="120" w:line="240"/>
        <w:jc w:val="left"/>
      </w:pPr>
      <w:r>
        <w:rPr>
          <w:rFonts w:ascii="Times New Roman" w:cs="Times New Roman" w:eastAsia="Times New Roman" w:hAnsi="Times New Roman"/>
          <w:i/>
          <w:iCs/>
          <w:sz w:val="20"/>
          <w:szCs w:val="20"/>
        </w:rPr>
        <w:t xml:space="preserve">B. Metrics</w:t>
      </w:r>
    </w:p>
    <w:p>
      <w:pPr>
        <w:spacing w:after="80" w:before="0" w:line="240"/>
        <w:ind w:firstLine="200"/>
        <w:jc w:val="both"/>
      </w:pPr>
      <w:r>
        <w:rPr>
          <w:rFonts w:ascii="Times New Roman" w:cs="Times New Roman" w:eastAsia="Times New Roman" w:hAnsi="Times New Roman"/>
          <w:sz w:val="20"/>
          <w:szCs w:val="20"/>
        </w:rPr>
        <w:t xml:space="preserve">Following Almanac's framing [36] and the AIS attribution literature [14], [15], we report (i) Topic accuracy: correct ACR topic? (ii) Variant accuracy: correct variant within topic? (iii) Appropriateness concordance: fraction of expected procedures returned with the exact rating; (iv) Citation fidelity: fraction of recommendations whose citation_id matches a real retrieved chunk. We also report top-procedure accuracy and end-to-end latency.</w:t>
      </w:r>
    </w:p>
    <w:p>
      <w:pPr>
        <w:spacing w:after="40" w:before="120" w:line="240"/>
        <w:jc w:val="left"/>
      </w:pPr>
      <w:r>
        <w:rPr>
          <w:rFonts w:ascii="Times New Roman" w:cs="Times New Roman" w:eastAsia="Times New Roman" w:hAnsi="Times New Roman"/>
          <w:i/>
          <w:iCs/>
          <w:sz w:val="20"/>
          <w:szCs w:val="20"/>
        </w:rPr>
        <w:t xml:space="preserve">C. Abstention probes</w:t>
      </w:r>
    </w:p>
    <w:p>
      <w:pPr>
        <w:spacing w:after="80" w:before="0" w:line="240"/>
        <w:ind w:firstLine="200"/>
        <w:jc w:val="both"/>
      </w:pPr>
      <w:r>
        <w:rPr>
          <w:rFonts w:ascii="Times New Roman" w:cs="Times New Roman" w:eastAsia="Times New Roman" w:hAnsi="Times New Roman"/>
          <w:sz w:val="20"/>
          <w:szCs w:val="20"/>
        </w:rPr>
        <w:t xml:space="preserve">Seven off-topic probes — random tokens, factual queries, household instructions, translation requests, empty/whitespace cases — exercise the abstention gate.</w:t>
      </w:r>
    </w:p>
    <w:p>
      <w:pPr>
        <w:spacing w:after="40" w:before="120" w:line="240"/>
        <w:jc w:val="left"/>
      </w:pPr>
      <w:r>
        <w:rPr>
          <w:rFonts w:ascii="Times New Roman" w:cs="Times New Roman" w:eastAsia="Times New Roman" w:hAnsi="Times New Roman"/>
          <w:i/>
          <w:iCs/>
          <w:sz w:val="20"/>
          <w:szCs w:val="20"/>
        </w:rPr>
        <w:t xml:space="preserve">D. Implementation</w:t>
      </w:r>
    </w:p>
    <w:p>
      <w:pPr>
        <w:spacing w:after="80" w:before="0" w:line="240"/>
        <w:ind w:firstLine="200"/>
        <w:jc w:val="both"/>
      </w:pPr>
      <w:r>
        <w:rPr>
          <w:rFonts w:ascii="Times New Roman" w:cs="Times New Roman" w:eastAsia="Times New Roman" w:hAnsi="Times New Roman"/>
          <w:sz w:val="20"/>
          <w:szCs w:val="20"/>
        </w:rPr>
        <w:t xml:space="preserve">~1.5k lines of Python: rank-bm25, anthropic SDK, FastAPI, Pydantic, Streamlit. The eval harness runs in stub-generator mode (deterministic; no API key) so that any LLM-induced gain is strictly additive over a documented baseline.</w:t>
      </w:r>
    </w:p>
    <w:p>
      <w:pPr>
        <w:spacing w:after="80" w:before="200" w:line="240"/>
        <w:jc w:val="center"/>
      </w:pPr>
      <w:r>
        <w:rPr>
          <w:rFonts w:ascii="Times New Roman" w:cs="Times New Roman" w:eastAsia="Times New Roman" w:hAnsi="Times New Roman"/>
          <w:b/>
          <w:bCs/>
          <w:smallCaps/>
          <w:sz w:val="20"/>
          <w:szCs w:val="20"/>
        </w:rPr>
        <w:t xml:space="preserve">V. Results</w:t>
      </w:r>
    </w:p>
    <w:p>
      <w:pPr>
        <w:spacing w:after="80" w:before="0" w:line="240"/>
        <w:ind w:firstLine="200"/>
        <w:jc w:val="both"/>
      </w:pPr>
      <w:r>
        <w:rPr>
          <w:rFonts w:ascii="Times New Roman" w:cs="Times New Roman" w:eastAsia="Times New Roman" w:hAnsi="Times New Roman"/>
          <w:sz w:val="20"/>
          <w:szCs w:val="20"/>
        </w:rPr>
        <w:t xml:space="preserve">Table II reports the headline metrics across the eight in-domain scenarios and seven off-topic probes.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80"/>
        <w:gridCol w:w="960"/>
        <w:gridCol w:w="720"/>
        <w:gridCol w:w="1440"/>
      </w:tblGrid>
      <w:tr>
        <w:tc>
          <w:tcPr>
            <w:tcW w:type="dxa" w:w="28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Metric</w:t>
            </w:r>
          </w:p>
        </w:tc>
        <w:tc>
          <w:tcPr>
            <w:tcW w:type="dxa" w:w="96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Score</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w:t>
            </w:r>
          </w:p>
        </w:tc>
        <w:tc>
          <w:tcPr>
            <w:tcW w:type="dxa" w:w="144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Notes</w:t>
            </w:r>
          </w:p>
        </w:tc>
      </w:tr>
      <w:tr>
        <w:tc>
          <w:tcPr>
            <w:tcW w:type="dxa" w:w="28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Topic accuracy</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8/8</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 misroutes</w:t>
            </w:r>
          </w:p>
        </w:tc>
      </w:tr>
      <w:tr>
        <w:tc>
          <w:tcPr>
            <w:tcW w:type="dxa" w:w="28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Variant accuracy</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7/8</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negation miss</w:t>
            </w:r>
          </w:p>
        </w:tc>
      </w:tr>
      <w:tr>
        <w:tc>
          <w:tcPr>
            <w:tcW w:type="dxa" w:w="28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Top-proc. accuracy</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7/8</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same scen.</w:t>
            </w:r>
          </w:p>
        </w:tc>
      </w:tr>
      <w:tr>
        <w:tc>
          <w:tcPr>
            <w:tcW w:type="dxa" w:w="28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Concordance</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mean</w:t>
            </w:r>
          </w:p>
        </w:tc>
      </w:tr>
      <w:tr>
        <w:tc>
          <w:tcPr>
            <w:tcW w:type="dxa" w:w="28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Citation fidelity</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invariant</w:t>
            </w:r>
          </w:p>
        </w:tc>
      </w:tr>
      <w:tr>
        <w:tc>
          <w:tcPr>
            <w:tcW w:type="dxa" w:w="28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Abstention rate</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85.7%</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6/7</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near-thresh.</w:t>
            </w:r>
          </w:p>
        </w:tc>
      </w:tr>
      <w:tr>
        <w:tc>
          <w:tcPr>
            <w:tcW w:type="dxa" w:w="28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Latency (stub)</w:t>
            </w:r>
          </w:p>
        </w:tc>
        <w:tc>
          <w:tcPr>
            <w:tcW w:type="dxa" w:w="9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0.04 ms</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mean</w:t>
            </w:r>
          </w:p>
        </w:tc>
      </w:tr>
    </w:tbl>
    <w:p>
      <w:pPr>
        <w:spacing w:after="160" w:before="40" w:line="220"/>
        <w:jc w:val="center"/>
      </w:pPr>
      <w:r>
        <w:rPr>
          <w:rFonts w:ascii="Times New Roman" w:cs="Times New Roman" w:eastAsia="Times New Roman" w:hAnsi="Times New Roman"/>
          <w:i/>
          <w:iCs/>
          <w:sz w:val="16"/>
          <w:szCs w:val="16"/>
        </w:rPr>
        <w:t xml:space="preserve">TABLE II: Headline evaluation metrics.</w:t>
      </w:r>
    </w:p>
    <w:p>
      <w:pPr>
        <w:spacing w:after="40" w:before="120" w:line="240"/>
        <w:jc w:val="left"/>
      </w:pPr>
      <w:r>
        <w:rPr>
          <w:rFonts w:ascii="Times New Roman" w:cs="Times New Roman" w:eastAsia="Times New Roman" w:hAnsi="Times New Roman"/>
          <w:i/>
          <w:iCs/>
          <w:sz w:val="20"/>
          <w:szCs w:val="20"/>
        </w:rPr>
        <w:t xml:space="preserve">A. In-domain accuracy</w:t>
      </w:r>
    </w:p>
    <w:p>
      <w:pPr>
        <w:spacing w:after="80" w:before="0" w:line="240"/>
        <w:ind w:firstLine="200"/>
        <w:jc w:val="both"/>
      </w:pPr>
      <w:r>
        <w:rPr>
          <w:rFonts w:ascii="Times New Roman" w:cs="Times New Roman" w:eastAsia="Times New Roman" w:hAnsi="Times New Roman"/>
          <w:sz w:val="20"/>
          <w:szCs w:val="20"/>
        </w:rPr>
        <w:t xml:space="preserve">Topic accuracy is 100.0%; variant accuracy is 87.5% (one miss); top-procedure accuracy is 87.5%; appropriateness concordance is 87.5%; citation fidelity is 100.0%. Specialised-population variants (pregnant RLQ, pediatric RLQ, pregnant PE) are correctly distinguished from their generic adult counterparts — the principal payoff of variant-keyword amplification. End-to-end pipeline latency is 0.04 ms (mean) over 100 timed queries; in Claude-augmented mode the LLM round-trip dominates.</w:t>
      </w:r>
    </w:p>
    <w:p>
      <w:pPr>
        <w:spacing w:after="40" w:before="120" w:line="240"/>
        <w:jc w:val="left"/>
      </w:pPr>
      <w:r>
        <w:rPr>
          <w:rFonts w:ascii="Times New Roman" w:cs="Times New Roman" w:eastAsia="Times New Roman" w:hAnsi="Times New Roman"/>
          <w:i/>
          <w:iCs/>
          <w:sz w:val="20"/>
          <w:szCs w:val="20"/>
        </w:rPr>
        <w:t xml:space="preserve">B. Off-topic abstention</w:t>
      </w:r>
    </w:p>
    <w:p>
      <w:pPr>
        <w:spacing w:after="80" w:before="0" w:line="240"/>
        <w:ind w:firstLine="200"/>
        <w:jc w:val="both"/>
      </w:pPr>
      <w:r>
        <w:rPr>
          <w:rFonts w:ascii="Times New Roman" w:cs="Times New Roman" w:eastAsia="Times New Roman" w:hAnsi="Times New Roman"/>
          <w:sz w:val="20"/>
          <w:szCs w:val="20"/>
        </w:rPr>
        <w:t xml:space="preserve">Six of seven off-topic probes correctly return INSUFFICIENT_EVIDENCE. The single false-route is "how do I fix a leaking faucet" (BM25 = 2.16, just above the 2.0 floor). Raising the floor would catch this probe but suppress short, low-vocabulary medical queries; we discuss this calibration-versus-coverage tradeoff in §VI-B.</w:t>
      </w:r>
    </w:p>
    <w:p>
      <w:pPr>
        <w:spacing w:after="40" w:before="120" w:line="240"/>
        <w:jc w:val="left"/>
      </w:pPr>
      <w:r>
        <w:rPr>
          <w:rFonts w:ascii="Times New Roman" w:cs="Times New Roman" w:eastAsia="Times New Roman" w:hAnsi="Times New Roman"/>
          <w:i/>
          <w:iCs/>
          <w:sz w:val="20"/>
          <w:szCs w:val="20"/>
        </w:rPr>
        <w:t xml:space="preserve">C. The negation failure</w:t>
      </w:r>
    </w:p>
    <w:p>
      <w:pPr>
        <w:spacing w:after="80" w:before="0" w:line="240"/>
        <w:ind w:firstLine="200"/>
        <w:jc w:val="both"/>
      </w:pPr>
      <w:r>
        <w:rPr>
          <w:rFonts w:ascii="Times New Roman" w:cs="Times New Roman" w:eastAsia="Times New Roman" w:hAnsi="Times New Roman"/>
          <w:sz w:val="20"/>
          <w:szCs w:val="20"/>
        </w:rPr>
        <w:t xml:space="preserve">The single in-domain miss is eval-002: 34-year-old man with three days of mild low back pain after lifting, with explicit negative red flags. Expected variant: uncomplicated LBP (top procedure: "No imaging"). The system instead routes to the red-flag variant. The cause is direct: BM25 cannot represent negation. The query contains "fever," "weight loss," and "cancer history" with high TF-IDF mass, and these are the exact tokens that define the red-flag variant in the indexed text. The lexical retriever has no mechanism to distinguish "fever" from "no fever," and routes accordingly.</w:t>
      </w:r>
    </w:p>
    <w:p>
      <w:pPr>
        <w:spacing w:after="80" w:before="200" w:line="240"/>
        <w:jc w:val="center"/>
      </w:pPr>
      <w:r>
        <w:rPr>
          <w:rFonts w:ascii="Times New Roman" w:cs="Times New Roman" w:eastAsia="Times New Roman" w:hAnsi="Times New Roman"/>
          <w:b/>
          <w:bCs/>
          <w:smallCaps/>
          <w:sz w:val="20"/>
          <w:szCs w:val="20"/>
        </w:rPr>
        <w:t xml:space="preserve">VI. Discussion</w:t>
      </w:r>
    </w:p>
    <w:p>
      <w:pPr>
        <w:spacing w:after="40" w:before="120" w:line="240"/>
        <w:jc w:val="left"/>
      </w:pPr>
      <w:r>
        <w:rPr>
          <w:rFonts w:ascii="Times New Roman" w:cs="Times New Roman" w:eastAsia="Times New Roman" w:hAnsi="Times New Roman"/>
          <w:i/>
          <w:iCs/>
          <w:sz w:val="20"/>
          <w:szCs w:val="20"/>
        </w:rPr>
        <w:t xml:space="preserve">A. Why two faithfulness layers and not one</w:t>
      </w:r>
    </w:p>
    <w:p>
      <w:pPr>
        <w:spacing w:after="80" w:before="0" w:line="240"/>
        <w:ind w:firstLine="200"/>
        <w:jc w:val="both"/>
      </w:pPr>
      <w:r>
        <w:rPr>
          <w:rFonts w:ascii="Times New Roman" w:cs="Times New Roman" w:eastAsia="Times New Roman" w:hAnsi="Times New Roman"/>
          <w:sz w:val="20"/>
          <w:szCs w:val="20"/>
        </w:rPr>
        <w:t xml:space="preserve">An in-prompt grounding contract alone is insufficient because it relies on the LLM honoring it on every call, and existing evaluations of attributed LLMs show non-trivial fabrication rates [14], [15]. A post-hoc validator alone is insufficient because the LLM may not attempt to attach citation_ids in the first place. The two layers work because they fail in different ways. The result, at the cost of one set-membership lookup per recommendation, is a hard guarantee that no surfaced recommendation can carry a hallucinated citation.</w:t>
      </w:r>
    </w:p>
    <w:p>
      <w:pPr>
        <w:spacing w:after="40" w:before="120" w:line="240"/>
        <w:jc w:val="left"/>
      </w:pPr>
      <w:r>
        <w:rPr>
          <w:rFonts w:ascii="Times New Roman" w:cs="Times New Roman" w:eastAsia="Times New Roman" w:hAnsi="Times New Roman"/>
          <w:i/>
          <w:iCs/>
          <w:sz w:val="20"/>
          <w:szCs w:val="20"/>
        </w:rPr>
        <w:t xml:space="preserve">B. Calibration versus coverage</w:t>
      </w:r>
    </w:p>
    <w:p>
      <w:pPr>
        <w:spacing w:after="80" w:before="0" w:line="240"/>
        <w:ind w:firstLine="200"/>
        <w:jc w:val="both"/>
      </w:pPr>
      <w:r>
        <w:rPr>
          <w:rFonts w:ascii="Times New Roman" w:cs="Times New Roman" w:eastAsia="Times New Roman" w:hAnsi="Times New Roman"/>
          <w:sz w:val="20"/>
          <w:szCs w:val="20"/>
        </w:rPr>
        <w:t xml:space="preserve">The near-threshold false-route is the calibration / coverage tradeoff in canonical form [16], [17]. A learned calibrator on the BM25 score is the natural next step. We separately reserve a relative-margin gate (distance from runner-up) in the configuration but disable it currently because legitimate co-ranking of multiple variants would otherwise over-fire the gate.</w:t>
      </w:r>
    </w:p>
    <w:p>
      <w:pPr>
        <w:spacing w:after="40" w:before="120" w:line="240"/>
        <w:jc w:val="left"/>
      </w:pPr>
      <w:r>
        <w:rPr>
          <w:rFonts w:ascii="Times New Roman" w:cs="Times New Roman" w:eastAsia="Times New Roman" w:hAnsi="Times New Roman"/>
          <w:i/>
          <w:iCs/>
          <w:sz w:val="20"/>
          <w:szCs w:val="20"/>
        </w:rPr>
        <w:t xml:space="preserve">C. The negation boundary</w:t>
      </w:r>
    </w:p>
    <w:p>
      <w:pPr>
        <w:spacing w:after="80" w:before="0" w:line="240"/>
        <w:ind w:firstLine="200"/>
        <w:jc w:val="both"/>
      </w:pPr>
      <w:r>
        <w:rPr>
          <w:rFonts w:ascii="Times New Roman" w:cs="Times New Roman" w:eastAsia="Times New Roman" w:hAnsi="Times New Roman"/>
          <w:sz w:val="20"/>
          <w:szCs w:val="20"/>
        </w:rPr>
        <w:t xml:space="preserve">The negation case is not a bug in the BM25 layer; it is the boundary at which a polarity-aware mechanism should take over. Three viable extensions: a dense retriever [19], [20] fine-tuned with negation-aware contrastive pairs; an LLM-based variant-selection rerank step over top-k candidates; or a hybrid lexical-plus-dense with LLM rerank. The failure direction is conservative — over-recommending imaging — and the mismatch is immediately visible to the clinician through the matched_scenario field.</w:t>
      </w:r>
    </w:p>
    <w:p>
      <w:pPr>
        <w:spacing w:after="40" w:before="120" w:line="240"/>
        <w:jc w:val="left"/>
      </w:pPr>
      <w:r>
        <w:rPr>
          <w:rFonts w:ascii="Times New Roman" w:cs="Times New Roman" w:eastAsia="Times New Roman" w:hAnsi="Times New Roman"/>
          <w:i/>
          <w:iCs/>
          <w:sz w:val="20"/>
          <w:szCs w:val="20"/>
        </w:rPr>
        <w:t xml:space="preserve">D. Limitations</w:t>
      </w:r>
    </w:p>
    <w:p>
      <w:pPr>
        <w:spacing w:after="80" w:before="0" w:line="240"/>
        <w:ind w:firstLine="200"/>
        <w:jc w:val="both"/>
      </w:pPr>
      <w:r>
        <w:rPr>
          <w:rFonts w:ascii="Times New Roman" w:cs="Times New Roman" w:eastAsia="Times New Roman" w:hAnsi="Times New Roman"/>
          <w:sz w:val="20"/>
          <w:szCs w:val="20"/>
        </w:rPr>
        <w:t xml:space="preserve">The seed KB is synthetic and illustrative; production deployment requires a properly licensed ACR-AC ingestion. The eight-scenario harness is small; scaling to a few hundred scenarios with multiple-radiologist ground truth is required before any deployment claim. The absolute-score floor is a single integer; a learned calibrator would do better, particularly for short queries. We treat the system as a research prototype, not as a clinical device.</w:t>
      </w:r>
    </w:p>
    <w:p>
      <w:pPr>
        <w:spacing w:after="80" w:before="200" w:line="240"/>
        <w:jc w:val="center"/>
      </w:pPr>
      <w:r>
        <w:rPr>
          <w:rFonts w:ascii="Times New Roman" w:cs="Times New Roman" w:eastAsia="Times New Roman" w:hAnsi="Times New Roman"/>
          <w:b/>
          <w:bCs/>
          <w:smallCaps/>
          <w:sz w:val="20"/>
          <w:szCs w:val="20"/>
        </w:rPr>
        <w:t xml:space="preserve">VII. Conclusion</w:t>
      </w:r>
    </w:p>
    <w:p>
      <w:pPr>
        <w:spacing w:after="80" w:before="0" w:line="240"/>
        <w:ind w:firstLine="200"/>
        <w:jc w:val="both"/>
      </w:pPr>
      <w:r>
        <w:rPr>
          <w:rFonts w:ascii="Times New Roman" w:cs="Times New Roman" w:eastAsia="Times New Roman" w:hAnsi="Times New Roman"/>
          <w:sz w:val="20"/>
          <w:szCs w:val="20"/>
        </w:rPr>
        <w:t xml:space="preserve">We presented an end-to-end RAG pipeline for radiology consult support grounded in the ACR Appropriateness Criteria, characterised by an explicit INSUFFICIENT_EVIDENCE abstention path and a two-layer citation-faithfulness guardrail. The system achieves 100% topic accuracy and 100% citation fidelity on an eight-scenario in-domain harness, with a single instructive failure on a negation case that motivates a clearly identified retrieval-layer extension. The architecture is small, transparent, and reproducible; we believe the citation-validation pattern generalises to any clinical-decision-support task where every recommendation must trace to an authoritative source.</w:t>
      </w:r>
    </w:p>
    <w:p>
      <w:pPr>
        <w:spacing w:after="80" w:before="200" w:line="240"/>
        <w:jc w:val="center"/>
      </w:pPr>
      <w:r>
        <w:rPr>
          <w:rFonts w:ascii="Times New Roman" w:cs="Times New Roman" w:eastAsia="Times New Roman" w:hAnsi="Times New Roman"/>
          <w:b/>
          <w:bCs/>
          <w:smallCaps/>
          <w:sz w:val="20"/>
          <w:szCs w:val="20"/>
        </w:rPr>
        <w:t xml:space="preserve">References</w:t>
      </w:r>
    </w:p>
    <w:p>
      <w:pPr>
        <w:spacing w:after="50" w:before="0" w:line="200"/>
        <w:ind w:left="240" w:hanging="240"/>
        <w:jc w:val="both"/>
      </w:pPr>
      <w:r>
        <w:rPr>
          <w:rFonts w:ascii="Times New Roman" w:cs="Times New Roman" w:eastAsia="Times New Roman" w:hAnsi="Times New Roman"/>
          <w:sz w:val="16"/>
          <w:szCs w:val="16"/>
        </w:rPr>
        <w:t xml:space="preserve">[1] C. L. Sistrom, P. A. Dang, J. B. Weilburg, K. J. Dreyer, D. I. Rosenthal, and J. H. Thrall, "Effect of Computerized Order Entry With Integrated Decision Support on the Growth of Outpatient Procedure Volumes: Seven-Year Time Series Analysis," Radiology, vol. 251, no. 1, pp. 147–155, 2009.</w:t>
      </w:r>
    </w:p>
    <w:p>
      <w:pPr>
        <w:spacing w:after="50" w:before="0" w:line="200"/>
        <w:ind w:left="240" w:hanging="240"/>
        <w:jc w:val="both"/>
      </w:pPr>
      <w:r>
        <w:rPr>
          <w:rFonts w:ascii="Times New Roman" w:cs="Times New Roman" w:eastAsia="Times New Roman" w:hAnsi="Times New Roman"/>
          <w:sz w:val="16"/>
          <w:szCs w:val="16"/>
        </w:rPr>
        <w:t xml:space="preserve">[2] D. I. Rosenthal, J. B. Weilburg, T. Schultz et al., "Radiology Order Entry With Decision Support: Initial Clinical Experience," J. Am. Coll. Radiol., vol. 3, no. 10, pp. 799–806, 2006.</w:t>
      </w:r>
    </w:p>
    <w:p>
      <w:pPr>
        <w:spacing w:after="50" w:before="0" w:line="200"/>
        <w:ind w:left="240" w:hanging="240"/>
        <w:jc w:val="both"/>
      </w:pPr>
      <w:r>
        <w:rPr>
          <w:rFonts w:ascii="Times New Roman" w:cs="Times New Roman" w:eastAsia="Times New Roman" w:hAnsi="Times New Roman"/>
          <w:sz w:val="16"/>
          <w:szCs w:val="16"/>
        </w:rPr>
        <w:t xml:space="preserve">[3] D. A. Kurth, B. K. Karmazyn, C. A. Waldrip, M. Chatfield, and M. E. Lockhart, "ACR Appropriateness Criteria® Methodology," J. Am. Coll. Radiol., vol. 18, no. 11S, pp. S240–S250, 2021.</w:t>
      </w:r>
    </w:p>
    <w:p>
      <w:pPr>
        <w:spacing w:after="50" w:before="0" w:line="200"/>
        <w:ind w:left="240" w:hanging="240"/>
        <w:jc w:val="both"/>
      </w:pPr>
      <w:r>
        <w:rPr>
          <w:rFonts w:ascii="Times New Roman" w:cs="Times New Roman" w:eastAsia="Times New Roman" w:hAnsi="Times New Roman"/>
          <w:sz w:val="16"/>
          <w:szCs w:val="16"/>
        </w:rPr>
        <w:t xml:space="preserve">[4] C. L. Sistrom, "In Support of the ACR Appropriateness Criteria," J. Am. Coll. Radiol., vol. 5, no. 5, pp. 630–635, 2008.</w:t>
      </w:r>
    </w:p>
    <w:p>
      <w:pPr>
        <w:spacing w:after="50" w:before="0" w:line="200"/>
        <w:ind w:left="240" w:hanging="240"/>
        <w:jc w:val="both"/>
      </w:pPr>
      <w:r>
        <w:rPr>
          <w:rFonts w:ascii="Times New Roman" w:cs="Times New Roman" w:eastAsia="Times New Roman" w:hAnsi="Times New Roman"/>
          <w:sz w:val="16"/>
          <w:szCs w:val="16"/>
        </w:rPr>
        <w:t xml:space="preserve">[5] A. Y. Sheng, A. Castro, and R. E. Lewiss, "Awareness, Utilization, and Education of the ACR Appropriateness Criteria: A Review and Future Directions," J. Am. Coll. Radiol., vol. 13, no. 2, pp. 131–136, 2016.</w:t>
      </w:r>
    </w:p>
    <w:p>
      <w:pPr>
        <w:spacing w:after="50" w:before="0" w:line="200"/>
        <w:ind w:left="240" w:hanging="240"/>
        <w:jc w:val="both"/>
      </w:pPr>
      <w:r>
        <w:rPr>
          <w:rFonts w:ascii="Times New Roman" w:cs="Times New Roman" w:eastAsia="Times New Roman" w:hAnsi="Times New Roman"/>
          <w:sz w:val="16"/>
          <w:szCs w:val="16"/>
        </w:rPr>
        <w:t xml:space="preserve">[6] K. Singhal, S. Azizi, T. Tu et al., "Large Language Models Encode Clinical Knowledge," Nature, vol. 620, no. 7972, pp. 172–180, 2023.</w:t>
      </w:r>
    </w:p>
    <w:p>
      <w:pPr>
        <w:spacing w:after="50" w:before="0" w:line="200"/>
        <w:ind w:left="240" w:hanging="240"/>
        <w:jc w:val="both"/>
      </w:pPr>
      <w:r>
        <w:rPr>
          <w:rFonts w:ascii="Times New Roman" w:cs="Times New Roman" w:eastAsia="Times New Roman" w:hAnsi="Times New Roman"/>
          <w:sz w:val="16"/>
          <w:szCs w:val="16"/>
        </w:rPr>
        <w:t xml:space="preserve">[7] K. Singhal, T. Tu, J. Gottweis et al., "Toward Expert-Level Medical Question Answering with Large Language Models," Nature Medicine, vol. 31, pp. 943–950, 2025.</w:t>
      </w:r>
    </w:p>
    <w:p>
      <w:pPr>
        <w:spacing w:after="50" w:before="0" w:line="200"/>
        <w:ind w:left="240" w:hanging="240"/>
        <w:jc w:val="both"/>
      </w:pPr>
      <w:r>
        <w:rPr>
          <w:rFonts w:ascii="Times New Roman" w:cs="Times New Roman" w:eastAsia="Times New Roman" w:hAnsi="Times New Roman"/>
          <w:sz w:val="16"/>
          <w:szCs w:val="16"/>
        </w:rPr>
        <w:t xml:space="preserve">[8] H. Nori, N. King, S. M. McKinney, D. Carignan, and E. Horvitz, "Capabilities of GPT-4 on Medical Challenge Problems," arXiv:2303.13375, 2023.</w:t>
      </w:r>
    </w:p>
    <w:p>
      <w:pPr>
        <w:spacing w:after="50" w:before="0" w:line="200"/>
        <w:ind w:left="240" w:hanging="240"/>
        <w:jc w:val="both"/>
      </w:pPr>
      <w:r>
        <w:rPr>
          <w:rFonts w:ascii="Times New Roman" w:cs="Times New Roman" w:eastAsia="Times New Roman" w:hAnsi="Times New Roman"/>
          <w:sz w:val="16"/>
          <w:szCs w:val="16"/>
        </w:rPr>
        <w:t xml:space="preserve">[9] Z. Kanjee, B. Crowe, and A. Rodman, "Accuracy of a Generative Artificial Intelligence Model in a Complex Diagnostic Challenge," JAMA, vol. 330, no. 1, pp. 78–80, 2023.</w:t>
      </w:r>
    </w:p>
    <w:p>
      <w:pPr>
        <w:spacing w:after="50" w:before="0" w:line="200"/>
        <w:ind w:left="240" w:hanging="240"/>
        <w:jc w:val="both"/>
      </w:pPr>
      <w:r>
        <w:rPr>
          <w:rFonts w:ascii="Times New Roman" w:cs="Times New Roman" w:eastAsia="Times New Roman" w:hAnsi="Times New Roman"/>
          <w:sz w:val="16"/>
          <w:szCs w:val="16"/>
        </w:rPr>
        <w:t xml:space="preserve">[10] E. Goh, R. Gallo, J. Hom et al., "Large Language Model Influence on Diagnostic Reasoning: A Randomized Clinical Trial," JAMA Network Open, vol. 7, no. 10, e2440969, 2024.</w:t>
      </w:r>
    </w:p>
    <w:p>
      <w:pPr>
        <w:spacing w:after="50" w:before="0" w:line="200"/>
        <w:ind w:left="240" w:hanging="240"/>
        <w:jc w:val="both"/>
      </w:pPr>
      <w:r>
        <w:rPr>
          <w:rFonts w:ascii="Times New Roman" w:cs="Times New Roman" w:eastAsia="Times New Roman" w:hAnsi="Times New Roman"/>
          <w:sz w:val="16"/>
          <w:szCs w:val="16"/>
        </w:rPr>
        <w:t xml:space="preserve">[11] R. Bhayana, S. Krishna, and R. R. Bleakney, "Performance of ChatGPT on a Radiology Board-Style Examination: Insights into Current Strengths and Limitations," Radiology, vol. 307, no. 5, e230582, 2023.</w:t>
      </w:r>
    </w:p>
    <w:p>
      <w:pPr>
        <w:spacing w:after="50" w:before="0" w:line="200"/>
        <w:ind w:left="240" w:hanging="240"/>
        <w:jc w:val="both"/>
      </w:pPr>
      <w:r>
        <w:rPr>
          <w:rFonts w:ascii="Times New Roman" w:cs="Times New Roman" w:eastAsia="Times New Roman" w:hAnsi="Times New Roman"/>
          <w:sz w:val="16"/>
          <w:szCs w:val="16"/>
        </w:rPr>
        <w:t xml:space="preserve">[12] Q. Lyu, J. Tan, M. E. Zapadka et al., "Translating Radiology Reports into Plain Language Using ChatGPT and GPT-4 with Prompt Learning," Visual Computing for Industry, Biomedicine, and Art, vol. 6, art. 9, 2023.</w:t>
      </w:r>
    </w:p>
    <w:p>
      <w:pPr>
        <w:spacing w:after="50" w:before="0" w:line="200"/>
        <w:ind w:left="240" w:hanging="240"/>
        <w:jc w:val="both"/>
      </w:pPr>
      <w:r>
        <w:rPr>
          <w:rFonts w:ascii="Times New Roman" w:cs="Times New Roman" w:eastAsia="Times New Roman" w:hAnsi="Times New Roman"/>
          <w:sz w:val="16"/>
          <w:szCs w:val="16"/>
        </w:rPr>
        <w:t xml:space="preserve">[13] R. Bhayana, "Chatbots and Large Language Models in Radiology: A Practical Primer for Clinical and Research Applications," Radiology, vol. 310, no. 1, e232756, 2024.</w:t>
      </w:r>
    </w:p>
    <w:p>
      <w:pPr>
        <w:spacing w:after="50" w:before="0" w:line="200"/>
        <w:ind w:left="240" w:hanging="240"/>
        <w:jc w:val="both"/>
      </w:pPr>
      <w:r>
        <w:rPr>
          <w:rFonts w:ascii="Times New Roman" w:cs="Times New Roman" w:eastAsia="Times New Roman" w:hAnsi="Times New Roman"/>
          <w:sz w:val="16"/>
          <w:szCs w:val="16"/>
        </w:rPr>
        <w:t xml:space="preserve">[14] H. Rashkin, V. Nikolaev, M. Lamm, L. Aroyo, M. Collins, D. Das, S. Petrov, G. S. Tomar, I. Turc, and D. Reitter, "Measuring Attribution in Natural Language Generation Models," Computational Linguistics, vol. 49, no. 4, pp. 777–840, 2023.</w:t>
      </w:r>
    </w:p>
    <w:p>
      <w:pPr>
        <w:spacing w:after="50" w:before="0" w:line="200"/>
        <w:ind w:left="240" w:hanging="240"/>
        <w:jc w:val="both"/>
      </w:pPr>
      <w:r>
        <w:rPr>
          <w:rFonts w:ascii="Times New Roman" w:cs="Times New Roman" w:eastAsia="Times New Roman" w:hAnsi="Times New Roman"/>
          <w:sz w:val="16"/>
          <w:szCs w:val="16"/>
        </w:rPr>
        <w:t xml:space="preserve">[15] B. Bohnet, V. Q. Tran, P. Verga et al., "Attributed Question Answering: Evaluation and Modeling for Attributed Large Language Models," arXiv:2212.08037, 2022.</w:t>
      </w:r>
    </w:p>
    <w:p>
      <w:pPr>
        <w:spacing w:after="50" w:before="0" w:line="200"/>
        <w:ind w:left="240" w:hanging="240"/>
        <w:jc w:val="both"/>
      </w:pPr>
      <w:r>
        <w:rPr>
          <w:rFonts w:ascii="Times New Roman" w:cs="Times New Roman" w:eastAsia="Times New Roman" w:hAnsi="Times New Roman"/>
          <w:sz w:val="16"/>
          <w:szCs w:val="16"/>
        </w:rPr>
        <w:t xml:space="preserve">[16] A. Kamath, R. Jia, and P. Liang, "Selective Question Answering under Domain Shift," in Proc. ACL, 2020, pp. 5684–5696.</w:t>
      </w:r>
    </w:p>
    <w:p>
      <w:pPr>
        <w:spacing w:after="50" w:before="0" w:line="200"/>
        <w:ind w:left="240" w:hanging="240"/>
        <w:jc w:val="both"/>
      </w:pPr>
      <w:r>
        <w:rPr>
          <w:rFonts w:ascii="Times New Roman" w:cs="Times New Roman" w:eastAsia="Times New Roman" w:hAnsi="Times New Roman"/>
          <w:sz w:val="16"/>
          <w:szCs w:val="16"/>
        </w:rPr>
        <w:t xml:space="preserve">[17] N. Varshney, S. Mishra, and C. Baral, "Investigating Selective Prediction Approaches Across Several Tasks in IID, OOD, and Adversarial Settings," in Findings of ACL, 2022, pp. 1995–2002.</w:t>
      </w:r>
    </w:p>
    <w:p>
      <w:pPr>
        <w:spacing w:after="50" w:before="0" w:line="200"/>
        <w:ind w:left="240" w:hanging="240"/>
        <w:jc w:val="both"/>
      </w:pPr>
      <w:r>
        <w:rPr>
          <w:rFonts w:ascii="Times New Roman" w:cs="Times New Roman" w:eastAsia="Times New Roman" w:hAnsi="Times New Roman"/>
          <w:sz w:val="16"/>
          <w:szCs w:val="16"/>
        </w:rPr>
        <w:t xml:space="preserve">[18]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50" w:before="0" w:line="200"/>
        <w:ind w:left="240" w:hanging="240"/>
        <w:jc w:val="both"/>
      </w:pPr>
      <w:r>
        <w:rPr>
          <w:rFonts w:ascii="Times New Roman" w:cs="Times New Roman" w:eastAsia="Times New Roman" w:hAnsi="Times New Roman"/>
          <w:sz w:val="16"/>
          <w:szCs w:val="16"/>
        </w:rPr>
        <w:t xml:space="preserve">[19] V. Karpukhin, B. Oğuz, S. Min, P. Lewis, L. Wu, S. Edunov, D. Chen, and W. Yih, "Dense Passage Retrieval for Open-Domain Question Answering," in Proc. EMNLP, 2020, pp. 6769–6781.</w:t>
      </w:r>
    </w:p>
    <w:p>
      <w:pPr>
        <w:spacing w:after="50" w:before="0" w:line="200"/>
        <w:ind w:left="240" w:hanging="240"/>
        <w:jc w:val="both"/>
      </w:pPr>
      <w:r>
        <w:rPr>
          <w:rFonts w:ascii="Times New Roman" w:cs="Times New Roman" w:eastAsia="Times New Roman" w:hAnsi="Times New Roman"/>
          <w:sz w:val="16"/>
          <w:szCs w:val="16"/>
        </w:rPr>
        <w:t xml:space="preserve">[20] G. Izacard and E. Grave, "Leveraging Passage Retrieval with Generative Models for Open Domain Question Answering," in Proc. EACL, 2021, pp. 874–880.</w:t>
      </w:r>
    </w:p>
    <w:p>
      <w:pPr>
        <w:spacing w:after="50" w:before="0" w:line="200"/>
        <w:ind w:left="240" w:hanging="240"/>
        <w:jc w:val="both"/>
      </w:pPr>
      <w:r>
        <w:rPr>
          <w:rFonts w:ascii="Times New Roman" w:cs="Times New Roman" w:eastAsia="Times New Roman" w:hAnsi="Times New Roman"/>
          <w:sz w:val="16"/>
          <w:szCs w:val="16"/>
        </w:rPr>
        <w:t xml:space="preserve">[21] K. Guu, K. Lee, Z. Tung, P. Pasupat, and M. Chang, "REALM: Retrieval-Augmented Language Model Pre-Training," in Proc. ICML, vol. 119, 2020, pp. 3929–3938.</w:t>
      </w:r>
    </w:p>
    <w:p>
      <w:pPr>
        <w:spacing w:after="50" w:before="0" w:line="200"/>
        <w:ind w:left="240" w:hanging="240"/>
        <w:jc w:val="both"/>
      </w:pPr>
      <w:r>
        <w:rPr>
          <w:rFonts w:ascii="Times New Roman" w:cs="Times New Roman" w:eastAsia="Times New Roman" w:hAnsi="Times New Roman"/>
          <w:sz w:val="16"/>
          <w:szCs w:val="16"/>
        </w:rPr>
        <w:t xml:space="preserve">[22] S. Borgeaud, A. Mensch, J. Hoffmann et al., "Improving Language Models by Retrieving from Trillions of Tokens," in Proc. ICML, vol. 162, 2022, pp. 2206–2240.</w:t>
      </w:r>
    </w:p>
    <w:p>
      <w:pPr>
        <w:spacing w:after="50" w:before="0" w:line="200"/>
        <w:ind w:left="240" w:hanging="240"/>
        <w:jc w:val="both"/>
      </w:pPr>
      <w:r>
        <w:rPr>
          <w:rFonts w:ascii="Times New Roman" w:cs="Times New Roman" w:eastAsia="Times New Roman" w:hAnsi="Times New Roman"/>
          <w:sz w:val="16"/>
          <w:szCs w:val="16"/>
        </w:rPr>
        <w:t xml:space="preserve">[23] Y. Gao, Y. Xiong, X. Gao, K. Jia, J. Pan, Y. Bi, Y. Dai, J. Sun, M. Wang, and H. Wang, "Retrieval-Augmented Generation for Large Language Models: A Survey," arXiv:2312.10997, 2023.</w:t>
      </w:r>
    </w:p>
    <w:p>
      <w:pPr>
        <w:spacing w:after="50" w:before="0" w:line="200"/>
        <w:ind w:left="240" w:hanging="240"/>
        <w:jc w:val="both"/>
      </w:pPr>
      <w:r>
        <w:rPr>
          <w:rFonts w:ascii="Times New Roman" w:cs="Times New Roman" w:eastAsia="Times New Roman" w:hAnsi="Times New Roman"/>
          <w:sz w:val="16"/>
          <w:szCs w:val="16"/>
        </w:rPr>
        <w:t xml:space="preserve">[24] O. Ram, Y. Levine, I. Dalmedigos, D. Muhlgay, A. Shashua, K. Leyton-Brown, and Y. Shoham, "In-Context Retrieval-Augmented Language Models," Trans. Assoc. Comput. Linguistics, vol. 11, pp. 1316–1331, 2023.</w:t>
      </w:r>
    </w:p>
    <w:p>
      <w:pPr>
        <w:spacing w:after="50" w:before="0" w:line="200"/>
        <w:ind w:left="240" w:hanging="240"/>
        <w:jc w:val="both"/>
      </w:pPr>
      <w:r>
        <w:rPr>
          <w:rFonts w:ascii="Times New Roman" w:cs="Times New Roman" w:eastAsia="Times New Roman" w:hAnsi="Times New Roman"/>
          <w:sz w:val="16"/>
          <w:szCs w:val="16"/>
        </w:rPr>
        <w:t xml:space="preserve">[25] Z. Ji, N. Lee, R. Frieske, T. Yu, D. Su, Y. Xu, E. Ishii, Y. J. Bang, A. Madotto, and P. Fung, "Survey of Hallucination in Natural Language Generation," ACM Computing Surveys, vol. 55, no. 12, art. 248, 2023.</w:t>
      </w:r>
    </w:p>
    <w:p>
      <w:pPr>
        <w:spacing w:after="50" w:before="0" w:line="200"/>
        <w:ind w:left="240" w:hanging="240"/>
        <w:jc w:val="both"/>
      </w:pPr>
      <w:r>
        <w:rPr>
          <w:rFonts w:ascii="Times New Roman" w:cs="Times New Roman" w:eastAsia="Times New Roman" w:hAnsi="Times New Roman"/>
          <w:sz w:val="16"/>
          <w:szCs w:val="16"/>
        </w:rPr>
        <w:t xml:space="preserve">[26] L. Huang, W. Yu, W. Ma et al., "A Survey on Hallucination in Large Language Models: Principles, Taxonomy, Challenges, and Open Questions," ACM Trans. Inf. Syst., 2023. arXiv:2311.05232.</w:t>
      </w:r>
    </w:p>
    <w:p>
      <w:pPr>
        <w:spacing w:after="50" w:before="0" w:line="200"/>
        <w:ind w:left="240" w:hanging="240"/>
        <w:jc w:val="both"/>
      </w:pPr>
      <w:r>
        <w:rPr>
          <w:rFonts w:ascii="Times New Roman" w:cs="Times New Roman" w:eastAsia="Times New Roman" w:hAnsi="Times New Roman"/>
          <w:sz w:val="16"/>
          <w:szCs w:val="16"/>
        </w:rPr>
        <w:t xml:space="preserve">[27] K. Shuster, S. Poff, M. Chen, D. Kiela, and J. Weston, "Retrieval Augmentation Reduces Hallucination in Conversation," in Findings of EMNLP, 2021, pp. 3784–3803.</w:t>
      </w:r>
    </w:p>
    <w:p>
      <w:pPr>
        <w:spacing w:after="50" w:before="0" w:line="200"/>
        <w:ind w:left="240" w:hanging="240"/>
        <w:jc w:val="both"/>
      </w:pPr>
      <w:r>
        <w:rPr>
          <w:rFonts w:ascii="Times New Roman" w:cs="Times New Roman" w:eastAsia="Times New Roman" w:hAnsi="Times New Roman"/>
          <w:sz w:val="16"/>
          <w:szCs w:val="16"/>
        </w:rPr>
        <w:t xml:space="preserve">[28] L. Gao, Z. Dai, P. Pasupat et al., "RARR: Researching and Revising What Language Models Say, Using Language Models," in Proc. ACL, 2023, pp. 16477–16508.</w:t>
      </w:r>
    </w:p>
    <w:p>
      <w:pPr>
        <w:spacing w:after="50" w:before="0" w:line="200"/>
        <w:ind w:left="240" w:hanging="240"/>
        <w:jc w:val="both"/>
      </w:pPr>
      <w:r>
        <w:rPr>
          <w:rFonts w:ascii="Times New Roman" w:cs="Times New Roman" w:eastAsia="Times New Roman" w:hAnsi="Times New Roman"/>
          <w:sz w:val="16"/>
          <w:szCs w:val="16"/>
        </w:rPr>
        <w:t xml:space="preserve">[29] S. M. T. I. Tonmoy, S. M. M. Zaman, V. Jain, A. Rani, V. Rawte, A. Chadha, and A. Das, "A Comprehensive Survey of Hallucination Mitigation Techniques in Large Language Models," arXiv:2401.01313, 2024.</w:t>
      </w:r>
    </w:p>
    <w:p>
      <w:pPr>
        <w:spacing w:after="50" w:before="0" w:line="200"/>
        <w:ind w:left="240" w:hanging="240"/>
        <w:jc w:val="both"/>
      </w:pPr>
      <w:r>
        <w:rPr>
          <w:rFonts w:ascii="Times New Roman" w:cs="Times New Roman" w:eastAsia="Times New Roman" w:hAnsi="Times New Roman"/>
          <w:sz w:val="16"/>
          <w:szCs w:val="16"/>
        </w:rPr>
        <w:t xml:space="preserve">[30] L. C. Adams, D. Truhn, F. Busch, A. Kader, S. M. Niehues, M. R. Makowski, and K. K. Bressem, "Leveraging GPT-4 for Post Hoc Transformation of Free-Text Radiology Reports into Structured Reporting: A Multilingual Feasibility Study," Radiology, vol. 307, no. 4, e230725, 2023.</w:t>
      </w:r>
    </w:p>
    <w:p>
      <w:pPr>
        <w:spacing w:after="50" w:before="0" w:line="200"/>
        <w:ind w:left="240" w:hanging="240"/>
        <w:jc w:val="both"/>
      </w:pPr>
      <w:r>
        <w:rPr>
          <w:rFonts w:ascii="Times New Roman" w:cs="Times New Roman" w:eastAsia="Times New Roman" w:hAnsi="Times New Roman"/>
          <w:sz w:val="16"/>
          <w:szCs w:val="16"/>
        </w:rPr>
        <w:t xml:space="preserve">[31] A. Rao, J. Kim, M. Kamineni, M. Pang, W. Lie, and M. D. Succi, "Evaluating ChatGPT as an Adjunct for Radiologic Decision-Making," J. Am. Coll. Radiol., 2023. doi:10.1016/j.jacr.2023.05.003.</w:t>
      </w:r>
    </w:p>
    <w:p>
      <w:pPr>
        <w:spacing w:after="50" w:before="0" w:line="200"/>
        <w:ind w:left="240" w:hanging="240"/>
        <w:jc w:val="both"/>
      </w:pPr>
      <w:r>
        <w:rPr>
          <w:rFonts w:ascii="Times New Roman" w:cs="Times New Roman" w:eastAsia="Times New Roman" w:hAnsi="Times New Roman"/>
          <w:sz w:val="16"/>
          <w:szCs w:val="16"/>
        </w:rPr>
        <w:t xml:space="preserve">[32] A. A. Elkassem and A. D. Smith, "Potential Use Cases for ChatGPT in Radiology Reporting," American J. Roentgenology, vol. 221, no. 3, pp. 373–376, 2023.</w:t>
      </w:r>
    </w:p>
    <w:p>
      <w:pPr>
        <w:spacing w:after="50" w:before="0" w:line="200"/>
        <w:ind w:left="240" w:hanging="240"/>
        <w:jc w:val="both"/>
      </w:pPr>
      <w:r>
        <w:rPr>
          <w:rFonts w:ascii="Times New Roman" w:cs="Times New Roman" w:eastAsia="Times New Roman" w:hAnsi="Times New Roman"/>
          <w:sz w:val="16"/>
          <w:szCs w:val="16"/>
        </w:rPr>
        <w:t xml:space="preserve">[33] A. Rau, S. Rau, D. Zoeller et al., "A Context-based Chatbot Surpasses Trained Radiologists and Generic ChatGPT in Following the ACR Appropriateness Guidelines," Radiology, vol. 308, no. 1, e230970, 2023.</w:t>
      </w:r>
    </w:p>
    <w:p>
      <w:pPr>
        <w:spacing w:after="50" w:before="0" w:line="200"/>
        <w:ind w:left="240" w:hanging="240"/>
        <w:jc w:val="both"/>
      </w:pPr>
      <w:r>
        <w:rPr>
          <w:rFonts w:ascii="Times New Roman" w:cs="Times New Roman" w:eastAsia="Times New Roman" w:hAnsi="Times New Roman"/>
          <w:sz w:val="16"/>
          <w:szCs w:val="16"/>
        </w:rPr>
        <w:t xml:space="preserve">[34] G. Xiong, Q. Jin, Z. Lu, and A. Zhang, "Benchmarking Retrieval-Augmented Generation for Medicine," in Findings of ACL, 2024, pp. 6233–6251.</w:t>
      </w:r>
    </w:p>
    <w:p>
      <w:pPr>
        <w:spacing w:after="50" w:before="0" w:line="200"/>
        <w:ind w:left="240" w:hanging="240"/>
        <w:jc w:val="both"/>
      </w:pPr>
      <w:r>
        <w:rPr>
          <w:rFonts w:ascii="Times New Roman" w:cs="Times New Roman" w:eastAsia="Times New Roman" w:hAnsi="Times New Roman"/>
          <w:sz w:val="16"/>
          <w:szCs w:val="16"/>
        </w:rPr>
        <w:t xml:space="preserve">[35] N. F. Liu, K. Lin, J. Hewitt, A. Paranjape, M. Bevilacqua, F. Petroni, and P. Liang, "Lost in the Middle: How Language Models Use Long Contexts," Trans. Assoc. Comput. Linguistics, vol. 12, pp. 157–173, 2024.</w:t>
      </w:r>
    </w:p>
    <w:p>
      <w:pPr>
        <w:spacing w:after="50" w:before="0" w:line="200"/>
        <w:ind w:left="240" w:hanging="240"/>
        <w:jc w:val="both"/>
      </w:pPr>
      <w:r>
        <w:rPr>
          <w:rFonts w:ascii="Times New Roman" w:cs="Times New Roman" w:eastAsia="Times New Roman" w:hAnsi="Times New Roman"/>
          <w:sz w:val="16"/>
          <w:szCs w:val="16"/>
        </w:rPr>
        <w:t xml:space="preserve">[36] C. Zakka, R. Shad, A. Chaurasia et al., "Almanac — Retrieval-Augmented Language Models for Clinical Medicine," NEJM AI, vol. 1, no. 2, AIoa2300068, 2024.</w:t>
      </w:r>
    </w:p>
    <w:p>
      <w:pPr>
        <w:spacing w:after="50" w:before="0" w:line="200"/>
        <w:ind w:left="240" w:hanging="240"/>
        <w:jc w:val="both"/>
      </w:pPr>
      <w:r>
        <w:rPr>
          <w:rFonts w:ascii="Times New Roman" w:cs="Times New Roman" w:eastAsia="Times New Roman" w:hAnsi="Times New Roman"/>
          <w:sz w:val="16"/>
          <w:szCs w:val="16"/>
        </w:rPr>
        <w:t xml:space="preserve">[37] S. Robertson and H. Zaragoza, "The Probabilistic Relevance Framework: BM25 and Beyond," Foundations and Trends in Information Retrieval, vol. 3, no. 4, pp. 333–389, 2009. doi:10.1561/1500000019.</w:t>
      </w:r>
    </w:p>
    <w:p>
      <w:pPr>
        <w:spacing w:after="50" w:before="0" w:line="200"/>
        <w:ind w:left="240" w:hanging="240"/>
        <w:jc w:val="both"/>
      </w:pPr>
      <w:r>
        <w:rPr>
          <w:rFonts w:ascii="Times New Roman" w:cs="Times New Roman" w:eastAsia="Times New Roman" w:hAnsi="Times New Roman"/>
          <w:sz w:val="16"/>
          <w:szCs w:val="16"/>
        </w:rPr>
        <w:t xml:space="preserve">[38] A. Trotman, A. Puurula, and B. Burgess, "Improvements to BM25 and Language Models Examined," in Proc. Australasian Document Computing Symp. (ADCS), 2014, pp. 58–66.</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EEETitle">
    <w:name w:val="IEEE Title"/>
    <w:basedOn w:val="Normal"/>
    <w:next w:val="Normal"/>
    <w:qFormat/>
    <w:pPr>
      <w:spacing w:after="240" w:before="0" w:line="280"/>
      <w:jc w:val="center"/>
    </w:pPr>
    <w:rPr>
      <w:rFonts w:ascii="Times New Roman" w:cs="Times New Roman" w:eastAsia="Times New Roman" w:hAnsi="Times New Roman"/>
      <w:b/>
      <w:bCs/>
      <w:sz w:val="48"/>
      <w:szCs w:val="48"/>
    </w:rPr>
  </w:style>
  <w:style w:type="paragraph" w:styleId="IEEEAuthor">
    <w:name w:val="IEEE Author"/>
    <w:basedOn w:val="Normal"/>
    <w:next w:val="Normal"/>
    <w:qFormat/>
    <w:pPr>
      <w:spacing w:after="80" w:before="80" w:line="240"/>
      <w:jc w:val="center"/>
    </w:pPr>
    <w:rPr>
      <w:rFonts w:ascii="Times New Roman" w:cs="Times New Roman" w:eastAsia="Times New Roman" w:hAnsi="Times New Roman"/>
      <w:sz w:val="22"/>
      <w:szCs w:val="22"/>
    </w:rPr>
  </w:style>
  <w:style w:type="paragraph" w:styleId="Heading1">
    <w:name w:val="Heading 1"/>
    <w:basedOn w:val="Normal"/>
    <w:next w:val="Normal"/>
    <w:qFormat/>
    <w:pPr>
      <w:spacing w:after="100" w:before="200" w:line="24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60" w:before="140" w:line="240"/>
      <w:outlineLvl w:val="1"/>
    </w:pPr>
    <w:rPr>
      <w:rFonts w:ascii="Times New Roman" w:cs="Times New Roman" w:eastAsia="Times New Roman" w:hAnsi="Times New Roman"/>
      <w:i/>
      <w:iCs/>
      <w:sz w:val="20"/>
      <w:szCs w:val="20"/>
    </w:rPr>
  </w:style>
  <w:style w:type="paragraph" w:styleId="IEEECaption">
    <w:name w:val="IEEE Caption"/>
    <w:basedOn w:val="Normal"/>
    <w:next w:val="Normal"/>
    <w:qFormat/>
    <w:pPr>
      <w:spacing w:after="160" w:before="60" w:line="220"/>
      <w:jc w:val="center"/>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2026-04-28T23:18:35.208Z</dcterms:created>
  <dcterms:modified xsi:type="dcterms:W3CDTF">2026-04-28T23:18:35.208Z</dcterms:modified>
</cp:coreProperties>
</file>

<file path=docProps/custom.xml><?xml version="1.0" encoding="utf-8"?>
<Properties xmlns="http://schemas.openxmlformats.org/officeDocument/2006/custom-properties" xmlns:vt="http://schemas.openxmlformats.org/officeDocument/2006/docPropsVTypes"/>
</file>