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0" w:line="280"/>
        <w:jc w:val="center"/>
      </w:pPr>
      <w:r>
        <w:rPr>
          <w:rFonts w:ascii="Times New Roman" w:cs="Times New Roman" w:eastAsia="Times New Roman" w:hAnsi="Times New Roman"/>
          <w:b/>
          <w:bCs/>
          <w:sz w:val="48"/>
          <w:szCs w:val="48"/>
        </w:rPr>
        <w:t xml:space="preserve">Six Engineering Choices: Lessons from Building a Production-Style Citation-Faithful Clinical RAG</w:t>
      </w:r>
    </w:p>
    <w:p>
      <w:pPr>
        <w:spacing w:after="60" w:before="0" w:line="240"/>
        <w:jc w:val="center"/>
      </w:pPr>
      <w:r>
        <w:rPr>
          <w:rFonts w:ascii="Times New Roman" w:cs="Times New Roman" w:eastAsia="Times New Roman" w:hAnsi="Times New Roman"/>
          <w:i w:val="false"/>
          <w:iCs w:val="false"/>
          <w:sz w:val="22"/>
          <w:szCs w:val="22"/>
        </w:rPr>
        <w:t xml:space="preserve">[Author Name]</w:t>
      </w:r>
    </w:p>
    <w:p>
      <w:pPr>
        <w:spacing w:after="60" w:before="0" w:line="240"/>
        <w:jc w:val="center"/>
      </w:pPr>
      <w:r>
        <w:rPr>
          <w:rFonts w:ascii="Times New Roman" w:cs="Times New Roman" w:eastAsia="Times New Roman" w:hAnsi="Times New Roman"/>
          <w:i w:val="false"/>
          <w:iCs w:val="false"/>
          <w:sz w:val="22"/>
          <w:szCs w:val="22"/>
        </w:rPr>
        <w:t xml:space="preserve">[Department / Affiliation]</w:t>
      </w:r>
    </w:p>
    <w:p>
      <w:pPr>
        <w:spacing w:after="60" w:before="0" w:line="240"/>
        <w:jc w:val="center"/>
      </w:pPr>
      <w:r>
        <w:rPr>
          <w:rFonts w:ascii="Times New Roman" w:cs="Times New Roman" w:eastAsia="Times New Roman" w:hAnsi="Times New Roman"/>
          <w:i w:val="false"/>
          <w:iCs w:val="false"/>
          <w:sz w:val="22"/>
          <w:szCs w:val="22"/>
        </w:rPr>
        <w:t xml:space="preserve">[City, Country]</w:t>
      </w:r>
    </w:p>
    <w:p>
      <w:pPr>
        <w:spacing w:after="60" w:before="0" w:line="240"/>
        <w:jc w:val="center"/>
      </w:pPr>
      <w:r>
        <w:rPr>
          <w:rFonts w:ascii="Times New Roman" w:cs="Times New Roman" w:eastAsia="Times New Roman" w:hAnsi="Times New Roman"/>
          <w:i w:val="false"/>
          <w:iCs w:val="false"/>
          <w:sz w:val="22"/>
          <w:szCs w:val="22"/>
        </w:rPr>
        <w:t xml:space="preserve">[email@domain]</w:t>
      </w:r>
    </w:p>
    <w:p>
      <w:pPr>
        <w:sectPr>
          <w:type w:val="continuous"/>
          <w:pgSz w:w="12240" w:h="15840" w:orient="portrait"/>
          <w:pgMar w:top="1080" w:right="900" w:bottom="1440" w:left="900" w:header="708" w:footer="708" w:gutter="0"/>
          <w:pgNumType/>
          <w:cols w:space="360" w:num="1" w:sep="false" w:equalWidth="true"/>
          <w:docGrid w:linePitch="360"/>
        </w:sectPr>
      </w:pPr>
    </w:p>
    <w:p>
      <w:pPr>
        <w:spacing w:after="120" w:before="0" w:line="220"/>
        <w:ind w:firstLine="200"/>
        <w:jc w:val="both"/>
      </w:pPr>
      <w:r>
        <w:rPr>
          <w:rFonts w:ascii="Times New Roman" w:cs="Times New Roman" w:eastAsia="Times New Roman" w:hAnsi="Times New Roman"/>
          <w:b/>
          <w:bCs/>
          <w:i/>
          <w:iCs/>
          <w:sz w:val="18"/>
          <w:szCs w:val="18"/>
        </w:rPr>
        <w:t xml:space="preserve">Abstract—</w:t>
      </w:r>
      <w:r>
        <w:rPr>
          <w:rFonts w:ascii="Times New Roman" w:cs="Times New Roman" w:eastAsia="Times New Roman" w:hAnsi="Times New Roman"/>
          <w:i/>
          <w:iCs/>
          <w:sz w:val="18"/>
          <w:szCs w:val="18"/>
        </w:rPr>
        <w:t xml:space="preserve"> We extract six engineering choices from the construction of a production-style citation-faithful clinical RAG system grounded in the ACR Appropriateness Criteria. For each choice we report the alternative we rejected, the reason we rejected it, the empirical or operational consequence we observed, and a one-sentence prescription for practitioners. The six choices are: (1) variant-level chunking, not topic-level; (2) BM25 first, not dense retrieval; (3) absolute-score abstention as a structured response, not a confidence score; (4) post-hoc citation validation as code, not as prompting; (5) deterministic stub-generator fallback, not LLM-only; (6) typed schema with retrieval trace, not narrative output. We argue that these six choices, taken together, account for most of the deployment-readiness gap between published research demonstrations and clinical-IT-reviewable systems, and that each choice individually costs less than ten lines of code while paying disproportionate dividends in audit cost, reproducibility, and safety.</w:t>
      </w:r>
    </w:p>
    <w:p>
      <w:pPr>
        <w:spacing w:after="200" w:before="0" w:line="220"/>
        <w:ind w:firstLine="200"/>
        <w:jc w:val="both"/>
      </w:pPr>
      <w:r>
        <w:rPr>
          <w:rFonts w:ascii="Times New Roman" w:cs="Times New Roman" w:eastAsia="Times New Roman" w:hAnsi="Times New Roman"/>
          <w:b/>
          <w:bCs/>
          <w:i/>
          <w:iCs/>
          <w:sz w:val="18"/>
          <w:szCs w:val="18"/>
        </w:rPr>
        <w:t xml:space="preserve">Index Terms—</w:t>
      </w:r>
      <w:r>
        <w:rPr>
          <w:rFonts w:ascii="Times New Roman" w:cs="Times New Roman" w:eastAsia="Times New Roman" w:hAnsi="Times New Roman"/>
          <w:i/>
          <w:iCs/>
          <w:sz w:val="18"/>
          <w:szCs w:val="18"/>
        </w:rPr>
        <w:t xml:space="preserve"> Engineering lessons, clinical RAG, RAG architecture, deployment, ACR Appropriateness Criteria, BM25, abstention, citation validation.</w:t>
      </w:r>
    </w:p>
    <w:p>
      <w:pPr>
        <w:spacing w:after="80" w:before="200" w:line="240"/>
        <w:jc w:val="center"/>
      </w:pPr>
      <w:r>
        <w:rPr>
          <w:rFonts w:ascii="Times New Roman" w:cs="Times New Roman" w:eastAsia="Times New Roman" w:hAnsi="Times New Roman"/>
          <w:b/>
          <w:bCs/>
          <w:smallCaps/>
          <w:sz w:val="20"/>
          <w:szCs w:val="20"/>
        </w:rPr>
        <w:t xml:space="preserve">I. Introduction</w:t>
      </w:r>
    </w:p>
    <w:p>
      <w:pPr>
        <w:spacing w:after="80" w:before="0" w:line="240"/>
        <w:ind w:firstLine="200"/>
        <w:jc w:val="both"/>
      </w:pPr>
      <w:r>
        <w:rPr>
          <w:rFonts w:ascii="Times New Roman" w:cs="Times New Roman" w:eastAsia="Times New Roman" w:hAnsi="Times New Roman"/>
          <w:sz w:val="20"/>
          <w:szCs w:val="20"/>
        </w:rPr>
        <w:t xml:space="preserve">Most published research-grade clinical-RAG systems are not ready for clinical-IT review. The gap is not principally about model capability [1], [2], [3], [4], [5]; it is about a small number of architectural choices that compound into either a deployable or an undeployable artifact. We extract six such choices from the construction of a working ACR-AC-grounded [6], [7] system and argue that practitioners should treat them as defaults.</w:t>
      </w:r>
    </w:p>
    <w:p>
      <w:pPr>
        <w:spacing w:after="80" w:before="200" w:line="240"/>
        <w:jc w:val="center"/>
      </w:pPr>
      <w:r>
        <w:rPr>
          <w:rFonts w:ascii="Times New Roman" w:cs="Times New Roman" w:eastAsia="Times New Roman" w:hAnsi="Times New Roman"/>
          <w:b/>
          <w:bCs/>
          <w:smallCaps/>
          <w:sz w:val="20"/>
          <w:szCs w:val="20"/>
        </w:rPr>
        <w:t xml:space="preserve">II. Choice 1 — Variant-Level Chunking, Not Topic-Level</w:t>
      </w:r>
    </w:p>
    <w:p>
      <w:pPr>
        <w:spacing w:after="80" w:before="0" w:line="240"/>
        <w:ind w:firstLine="200"/>
        <w:jc w:val="both"/>
      </w:pPr>
      <w:r>
        <w:rPr>
          <w:rFonts w:ascii="Times New Roman" w:cs="Times New Roman" w:eastAsia="Times New Roman" w:hAnsi="Times New Roman"/>
          <w:sz w:val="20"/>
          <w:szCs w:val="20"/>
        </w:rPr>
        <w:t xml:space="preserve">Rejected alternative: chunking at the topic level (one passage per ACR-AC topic, containing all variants and all procedures). Why rejected: the citation unit in ACR-AC is the variant, not the topic; topic-level chunking forces the LLM to synthesise a recommendation across multiple sub-population contexts, which is exactly the failure surface the system should remove. Consequence observed: at variant-level chunking, every recommendation maps 1:1 to a citable source; the post-hoc validator becomes a single set-membership check. Prescription: chunk at the level of the citation unit, not the level of the document.</w:t>
      </w:r>
    </w:p>
    <w:p>
      <w:pPr>
        <w:spacing w:after="80" w:before="200" w:line="240"/>
        <w:jc w:val="center"/>
      </w:pPr>
      <w:r>
        <w:rPr>
          <w:rFonts w:ascii="Times New Roman" w:cs="Times New Roman" w:eastAsia="Times New Roman" w:hAnsi="Times New Roman"/>
          <w:b/>
          <w:bCs/>
          <w:smallCaps/>
          <w:sz w:val="20"/>
          <w:szCs w:val="20"/>
        </w:rPr>
        <w:t xml:space="preserve">III. Choice 2 — BM25 First, Not Dense Retrieval</w:t>
      </w:r>
    </w:p>
    <w:p>
      <w:pPr>
        <w:spacing w:after="80" w:before="0" w:line="240"/>
        <w:ind w:firstLine="200"/>
        <w:jc w:val="both"/>
      </w:pPr>
      <w:r>
        <w:rPr>
          <w:rFonts w:ascii="Times New Roman" w:cs="Times New Roman" w:eastAsia="Times New Roman" w:hAnsi="Times New Roman"/>
          <w:sz w:val="20"/>
          <w:szCs w:val="20"/>
        </w:rPr>
        <w:t xml:space="preserve">Rejected alternative: dense passage retrieval [8], [9], [10] as the default. Why rejected: at panel-corpus scale the BM25 score distribution is wide enough that absolute-score abstention is deployable; the BM25 score is interpretable as an audit signal; the retrieval pipeline has no embedding service and no GPU dependency. Consequence observed: in-domain top BM25 scores 8.40–30.72; off-topic 0.00–2.16; clean separation at τ = 2.0. Prescription: default to BM25 [11], [12]; introduce dense retrieval as a targeted upgrade only at scales or query distributions where BM25's score gap collapses.</w:t>
      </w:r>
    </w:p>
    <w:p>
      <w:pPr>
        <w:spacing w:after="80" w:before="200" w:line="240"/>
        <w:jc w:val="center"/>
      </w:pPr>
      <w:r>
        <w:rPr>
          <w:rFonts w:ascii="Times New Roman" w:cs="Times New Roman" w:eastAsia="Times New Roman" w:hAnsi="Times New Roman"/>
          <w:b/>
          <w:bCs/>
          <w:smallCaps/>
          <w:sz w:val="20"/>
          <w:szCs w:val="20"/>
        </w:rPr>
        <w:t xml:space="preserve">IV. Choice 3 — Abstention as a Structured Response</w:t>
      </w:r>
    </w:p>
    <w:p>
      <w:pPr>
        <w:spacing w:after="80" w:before="0" w:line="240"/>
        <w:ind w:firstLine="200"/>
        <w:jc w:val="both"/>
      </w:pPr>
      <w:r>
        <w:rPr>
          <w:rFonts w:ascii="Times New Roman" w:cs="Times New Roman" w:eastAsia="Times New Roman" w:hAnsi="Times New Roman"/>
          <w:sz w:val="20"/>
          <w:szCs w:val="20"/>
        </w:rPr>
        <w:t xml:space="preserve">Rejected alternative: a continuous confidence score in [0, 1] returned alongside every recommendation. Why rejected: the consuming application has to threshold the score itself; the threshold is invisible at the API surface; the abstention behaviour cannot be tested as a property of the system. Consequence observed: a structured topic_match = "INSUFFICIENT_EVIDENCE" response with an empty recommendations list and an explicit reason is a different signal than a low-confidence answer; the consuming application can branch on it directly. Selective-prediction literature [13], [14], [15] supports this. Prescription: surface abstention as a distinct response shape, not a number.</w:t>
      </w:r>
    </w:p>
    <w:p>
      <w:pPr>
        <w:spacing w:after="80" w:before="200" w:line="240"/>
        <w:jc w:val="center"/>
      </w:pPr>
      <w:r>
        <w:rPr>
          <w:rFonts w:ascii="Times New Roman" w:cs="Times New Roman" w:eastAsia="Times New Roman" w:hAnsi="Times New Roman"/>
          <w:b/>
          <w:bCs/>
          <w:smallCaps/>
          <w:sz w:val="20"/>
          <w:szCs w:val="20"/>
        </w:rPr>
        <w:t xml:space="preserve">V. Choice 4 — Post-Hoc Citation Validation as Code</w:t>
      </w:r>
    </w:p>
    <w:p>
      <w:pPr>
        <w:spacing w:after="80" w:before="0" w:line="240"/>
        <w:ind w:firstLine="200"/>
        <w:jc w:val="both"/>
      </w:pPr>
      <w:r>
        <w:rPr>
          <w:rFonts w:ascii="Times New Roman" w:cs="Times New Roman" w:eastAsia="Times New Roman" w:hAnsi="Times New Roman"/>
          <w:sz w:val="20"/>
          <w:szCs w:val="20"/>
        </w:rPr>
        <w:t xml:space="preserve">Rejected alternative: enforce citation faithfulness purely through the system prompt. Why rejected: existing evaluations of attributed LLMs show non-trivial fabrication rates even under explicit attribution prompts [16], [17]. Consequence observed: a deterministic post-hoc validator (set-membership check on citation_id against the retrieved chunk_ids) yields 100% citation fidelity by construction, with rejected recommendations surfaced separately for audit. The pattern is a minimal instantiation of post-hoc revision [18]. Prescription: treat citation faithfulness as an invariant enforced in code, not as a property elicited by prompting.</w:t>
      </w:r>
    </w:p>
    <w:p>
      <w:pPr>
        <w:spacing w:after="80" w:before="200" w:line="240"/>
        <w:jc w:val="center"/>
      </w:pPr>
      <w:r>
        <w:rPr>
          <w:rFonts w:ascii="Times New Roman" w:cs="Times New Roman" w:eastAsia="Times New Roman" w:hAnsi="Times New Roman"/>
          <w:b/>
          <w:bCs/>
          <w:smallCaps/>
          <w:sz w:val="20"/>
          <w:szCs w:val="20"/>
        </w:rPr>
        <w:t xml:space="preserve">VI. Choice 5 — Deterministic Stub-Generator Fallback</w:t>
      </w:r>
    </w:p>
    <w:p>
      <w:pPr>
        <w:spacing w:after="80" w:before="0" w:line="240"/>
        <w:ind w:firstLine="200"/>
        <w:jc w:val="both"/>
      </w:pPr>
      <w:r>
        <w:rPr>
          <w:rFonts w:ascii="Times New Roman" w:cs="Times New Roman" w:eastAsia="Times New Roman" w:hAnsi="Times New Roman"/>
          <w:sz w:val="20"/>
          <w:szCs w:val="20"/>
        </w:rPr>
        <w:t xml:space="preserve">Rejected alternative: invoke the LLM on every request, with no in-process fallback. Why rejected: the LLM API becomes a hard dependency for every CI run, every reproducibility audit, and every operational outage. Consequence observed: a deterministic StubGenerator that constructs a structured response from the top retrieved chunk costs ~40 lines of Python and unlocks (i) CI without an API key, (ii) reproducible eval numbers [19], [20], (iii) graceful degradation when the LLM API is unreachable, (iv) a clean retrieval-only baseline against which LLM-induced gains are additive. Prescription: ship a deterministic fallback path; it is the single highest-leverage engineering choice in the system.</w:t>
      </w:r>
    </w:p>
    <w:p>
      <w:pPr>
        <w:spacing w:after="80" w:before="200" w:line="240"/>
        <w:jc w:val="center"/>
      </w:pPr>
      <w:r>
        <w:rPr>
          <w:rFonts w:ascii="Times New Roman" w:cs="Times New Roman" w:eastAsia="Times New Roman" w:hAnsi="Times New Roman"/>
          <w:b/>
          <w:bCs/>
          <w:smallCaps/>
          <w:sz w:val="20"/>
          <w:szCs w:val="20"/>
        </w:rPr>
        <w:t xml:space="preserve">VII. Choice 6 — Typed Schema with Retrieval Trace</w:t>
      </w:r>
    </w:p>
    <w:p>
      <w:pPr>
        <w:spacing w:after="80" w:before="0" w:line="240"/>
        <w:ind w:firstLine="200"/>
        <w:jc w:val="both"/>
      </w:pPr>
      <w:r>
        <w:rPr>
          <w:rFonts w:ascii="Times New Roman" w:cs="Times New Roman" w:eastAsia="Times New Roman" w:hAnsi="Times New Roman"/>
          <w:sz w:val="20"/>
          <w:szCs w:val="20"/>
        </w:rPr>
        <w:t xml:space="preserve">Rejected alternative: free-form JSON or narrative output. Why rejected: the response is the audit artifact; if a deployment review committee can reconstruct the decision from a single response, the system clears review faster. Consequence observed: every response carries matched_topic, matched_variant, matched_scenario, ranked recommendations with citation_ids, RRL/contrast safety flags, retrieval trace, generator mode, and rejected recommendations. Documentation artifacts (model card [21], datasheet [22], data statement [23]) accompany the release. Prescription: typed schema with retrieval trace is non-negotiable for any clinical-RAG service that aims at IT review.</w:t>
      </w:r>
    </w:p>
    <w:p>
      <w:pPr>
        <w:spacing w:after="80" w:before="200" w:line="240"/>
        <w:jc w:val="center"/>
      </w:pPr>
      <w:r>
        <w:rPr>
          <w:rFonts w:ascii="Times New Roman" w:cs="Times New Roman" w:eastAsia="Times New Roman" w:hAnsi="Times New Roman"/>
          <w:b/>
          <w:bCs/>
          <w:smallCaps/>
          <w:sz w:val="20"/>
          <w:szCs w:val="20"/>
        </w:rPr>
        <w:t xml:space="preserve">VIII. Six Choices, One Table</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480"/>
        <w:gridCol w:w="2640"/>
        <w:gridCol w:w="2640"/>
        <w:gridCol w:w="720"/>
        <w:gridCol w:w="1920"/>
      </w:tblGrid>
      <w:tr>
        <w:tc>
          <w:tcPr>
            <w:tcW w:type="dxa" w:w="480"/>
            <w:tcBorders>
              <w:top w:val="single" w:color="000000" w:sz="4"/>
              <w:left w:val="single" w:color="000000" w:sz="4"/>
              <w:bottom w:val="single" w:color="000000" w:sz="4"/>
              <w:right w:val="single" w:color="000000" w:sz="4"/>
            </w:tcBorders>
            <w:shd w:fill="E5E5E5" w:color="auto" w:val="clear"/>
            <w:tcMar>
              <w:top w:type="dxa" w:w="40"/>
              <w:left w:type="dxa" w:w="80"/>
              <w:bottom w:type="dxa" w:w="40"/>
              <w:right w:type="dxa" w:w="80"/>
            </w:tcMar>
          </w:tcPr>
          <w:p>
            <w:pPr>
              <w:spacing w:after="0" w:before="0"/>
              <w:jc w:val="center"/>
            </w:pPr>
            <w:r>
              <w:rPr>
                <w:rFonts w:ascii="Times New Roman" w:cs="Times New Roman" w:eastAsia="Times New Roman" w:hAnsi="Times New Roman"/>
                <w:b/>
                <w:bCs/>
                <w:sz w:val="16"/>
                <w:szCs w:val="16"/>
              </w:rPr>
              <w:t xml:space="preserve">#</w:t>
            </w:r>
          </w:p>
        </w:tc>
        <w:tc>
          <w:tcPr>
            <w:tcW w:type="dxa" w:w="2640"/>
            <w:tcBorders>
              <w:top w:val="single" w:color="000000" w:sz="4"/>
              <w:left w:val="single" w:color="000000" w:sz="4"/>
              <w:bottom w:val="single" w:color="000000" w:sz="4"/>
              <w:right w:val="single" w:color="000000" w:sz="4"/>
            </w:tcBorders>
            <w:shd w:fill="E5E5E5" w:color="auto" w:val="clear"/>
            <w:tcMar>
              <w:top w:type="dxa" w:w="40"/>
              <w:left w:type="dxa" w:w="80"/>
              <w:bottom w:type="dxa" w:w="40"/>
              <w:right w:type="dxa" w:w="80"/>
            </w:tcMar>
          </w:tcPr>
          <w:p>
            <w:pPr>
              <w:spacing w:after="0" w:before="0"/>
              <w:jc w:val="center"/>
            </w:pPr>
            <w:r>
              <w:rPr>
                <w:rFonts w:ascii="Times New Roman" w:cs="Times New Roman" w:eastAsia="Times New Roman" w:hAnsi="Times New Roman"/>
                <w:b/>
                <w:bCs/>
                <w:sz w:val="16"/>
                <w:szCs w:val="16"/>
              </w:rPr>
              <w:t xml:space="preserve">Choice</w:t>
            </w:r>
          </w:p>
        </w:tc>
        <w:tc>
          <w:tcPr>
            <w:tcW w:type="dxa" w:w="2640"/>
            <w:tcBorders>
              <w:top w:val="single" w:color="000000" w:sz="4"/>
              <w:left w:val="single" w:color="000000" w:sz="4"/>
              <w:bottom w:val="single" w:color="000000" w:sz="4"/>
              <w:right w:val="single" w:color="000000" w:sz="4"/>
            </w:tcBorders>
            <w:shd w:fill="E5E5E5" w:color="auto" w:val="clear"/>
            <w:tcMar>
              <w:top w:type="dxa" w:w="40"/>
              <w:left w:type="dxa" w:w="80"/>
              <w:bottom w:type="dxa" w:w="40"/>
              <w:right w:type="dxa" w:w="80"/>
            </w:tcMar>
          </w:tcPr>
          <w:p>
            <w:pPr>
              <w:spacing w:after="0" w:before="0"/>
              <w:jc w:val="center"/>
            </w:pPr>
            <w:r>
              <w:rPr>
                <w:rFonts w:ascii="Times New Roman" w:cs="Times New Roman" w:eastAsia="Times New Roman" w:hAnsi="Times New Roman"/>
                <w:b/>
                <w:bCs/>
                <w:sz w:val="16"/>
                <w:szCs w:val="16"/>
              </w:rPr>
              <w:t xml:space="preserve">Rejected alternative</w:t>
            </w:r>
          </w:p>
        </w:tc>
        <w:tc>
          <w:tcPr>
            <w:tcW w:type="dxa" w:w="720"/>
            <w:tcBorders>
              <w:top w:val="single" w:color="000000" w:sz="4"/>
              <w:left w:val="single" w:color="000000" w:sz="4"/>
              <w:bottom w:val="single" w:color="000000" w:sz="4"/>
              <w:right w:val="single" w:color="000000" w:sz="4"/>
            </w:tcBorders>
            <w:shd w:fill="E5E5E5" w:color="auto" w:val="clear"/>
            <w:tcMar>
              <w:top w:type="dxa" w:w="40"/>
              <w:left w:type="dxa" w:w="80"/>
              <w:bottom w:type="dxa" w:w="40"/>
              <w:right w:type="dxa" w:w="80"/>
            </w:tcMar>
          </w:tcPr>
          <w:p>
            <w:pPr>
              <w:spacing w:after="0" w:before="0"/>
              <w:jc w:val="center"/>
            </w:pPr>
            <w:r>
              <w:rPr>
                <w:rFonts w:ascii="Times New Roman" w:cs="Times New Roman" w:eastAsia="Times New Roman" w:hAnsi="Times New Roman"/>
                <w:b/>
                <w:bCs/>
                <w:sz w:val="16"/>
                <w:szCs w:val="16"/>
              </w:rPr>
              <w:t xml:space="preserve">Cost</w:t>
            </w:r>
          </w:p>
        </w:tc>
        <w:tc>
          <w:tcPr>
            <w:tcW w:type="dxa" w:w="1920"/>
            <w:tcBorders>
              <w:top w:val="single" w:color="000000" w:sz="4"/>
              <w:left w:val="single" w:color="000000" w:sz="4"/>
              <w:bottom w:val="single" w:color="000000" w:sz="4"/>
              <w:right w:val="single" w:color="000000" w:sz="4"/>
            </w:tcBorders>
            <w:shd w:fill="E5E5E5" w:color="auto" w:val="clear"/>
            <w:tcMar>
              <w:top w:type="dxa" w:w="40"/>
              <w:left w:type="dxa" w:w="80"/>
              <w:bottom w:type="dxa" w:w="40"/>
              <w:right w:type="dxa" w:w="80"/>
            </w:tcMar>
          </w:tcPr>
          <w:p>
            <w:pPr>
              <w:spacing w:after="0" w:before="0"/>
              <w:jc w:val="center"/>
            </w:pPr>
            <w:r>
              <w:rPr>
                <w:rFonts w:ascii="Times New Roman" w:cs="Times New Roman" w:eastAsia="Times New Roman" w:hAnsi="Times New Roman"/>
                <w:b/>
                <w:bCs/>
                <w:sz w:val="16"/>
                <w:szCs w:val="16"/>
              </w:rPr>
              <w:t xml:space="preserve">Payoff</w:t>
            </w:r>
          </w:p>
        </w:tc>
      </w:tr>
      <w:tr>
        <w:tc>
          <w:tcPr>
            <w:tcW w:type="dxa" w:w="48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jc w:val="left"/>
            </w:pPr>
            <w:r>
              <w:rPr>
                <w:rFonts w:ascii="Times New Roman" w:cs="Times New Roman" w:eastAsia="Times New Roman" w:hAnsi="Times New Roman"/>
                <w:sz w:val="16"/>
                <w:szCs w:val="16"/>
              </w:rPr>
              <w:t xml:space="preserve">1</w:t>
            </w:r>
          </w:p>
        </w:tc>
        <w:tc>
          <w:tcPr>
            <w:tcW w:type="dxa" w:w="264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jc w:val="left"/>
            </w:pPr>
            <w:r>
              <w:rPr>
                <w:rFonts w:ascii="Times New Roman" w:cs="Times New Roman" w:eastAsia="Times New Roman" w:hAnsi="Times New Roman"/>
                <w:sz w:val="16"/>
                <w:szCs w:val="16"/>
              </w:rPr>
              <w:t xml:space="preserve">Variant-level chunking</w:t>
            </w:r>
          </w:p>
        </w:tc>
        <w:tc>
          <w:tcPr>
            <w:tcW w:type="dxa" w:w="264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jc w:val="left"/>
            </w:pPr>
            <w:r>
              <w:rPr>
                <w:rFonts w:ascii="Times New Roman" w:cs="Times New Roman" w:eastAsia="Times New Roman" w:hAnsi="Times New Roman"/>
                <w:sz w:val="16"/>
                <w:szCs w:val="16"/>
              </w:rPr>
              <w:t xml:space="preserve">Topic-level chunking</w:t>
            </w:r>
          </w:p>
        </w:tc>
        <w:tc>
          <w:tcPr>
            <w:tcW w:type="dxa" w:w="7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jc w:val="left"/>
            </w:pPr>
            <w:r>
              <w:rPr>
                <w:rFonts w:ascii="Times New Roman" w:cs="Times New Roman" w:eastAsia="Times New Roman" w:hAnsi="Times New Roman"/>
                <w:sz w:val="16"/>
                <w:szCs w:val="16"/>
              </w:rPr>
              <w:t xml:space="preserve">low</w:t>
            </w:r>
          </w:p>
        </w:tc>
        <w:tc>
          <w:tcPr>
            <w:tcW w:type="dxa" w:w="19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jc w:val="left"/>
            </w:pPr>
            <w:r>
              <w:rPr>
                <w:rFonts w:ascii="Times New Roman" w:cs="Times New Roman" w:eastAsia="Times New Roman" w:hAnsi="Times New Roman"/>
                <w:sz w:val="16"/>
                <w:szCs w:val="16"/>
              </w:rPr>
              <w:t xml:space="preserve">citation 1:1 with retrieval</w:t>
            </w:r>
          </w:p>
        </w:tc>
      </w:tr>
      <w:tr>
        <w:tc>
          <w:tcPr>
            <w:tcW w:type="dxa" w:w="48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jc w:val="left"/>
            </w:pPr>
            <w:r>
              <w:rPr>
                <w:rFonts w:ascii="Times New Roman" w:cs="Times New Roman" w:eastAsia="Times New Roman" w:hAnsi="Times New Roman"/>
                <w:sz w:val="16"/>
                <w:szCs w:val="16"/>
              </w:rPr>
              <w:t xml:space="preserve">2</w:t>
            </w:r>
          </w:p>
        </w:tc>
        <w:tc>
          <w:tcPr>
            <w:tcW w:type="dxa" w:w="264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jc w:val="left"/>
            </w:pPr>
            <w:r>
              <w:rPr>
                <w:rFonts w:ascii="Times New Roman" w:cs="Times New Roman" w:eastAsia="Times New Roman" w:hAnsi="Times New Roman"/>
                <w:sz w:val="16"/>
                <w:szCs w:val="16"/>
              </w:rPr>
              <w:t xml:space="preserve">BM25 first</w:t>
            </w:r>
          </w:p>
        </w:tc>
        <w:tc>
          <w:tcPr>
            <w:tcW w:type="dxa" w:w="264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jc w:val="left"/>
            </w:pPr>
            <w:r>
              <w:rPr>
                <w:rFonts w:ascii="Times New Roman" w:cs="Times New Roman" w:eastAsia="Times New Roman" w:hAnsi="Times New Roman"/>
                <w:sz w:val="16"/>
                <w:szCs w:val="16"/>
              </w:rPr>
              <w:t xml:space="preserve">Dense retrieval</w:t>
            </w:r>
          </w:p>
        </w:tc>
        <w:tc>
          <w:tcPr>
            <w:tcW w:type="dxa" w:w="7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jc w:val="left"/>
            </w:pPr>
            <w:r>
              <w:rPr>
                <w:rFonts w:ascii="Times New Roman" w:cs="Times New Roman" w:eastAsia="Times New Roman" w:hAnsi="Times New Roman"/>
                <w:sz w:val="16"/>
                <w:szCs w:val="16"/>
              </w:rPr>
              <w:t xml:space="preserve">low</w:t>
            </w:r>
          </w:p>
        </w:tc>
        <w:tc>
          <w:tcPr>
            <w:tcW w:type="dxa" w:w="19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jc w:val="left"/>
            </w:pPr>
            <w:r>
              <w:rPr>
                <w:rFonts w:ascii="Times New Roman" w:cs="Times New Roman" w:eastAsia="Times New Roman" w:hAnsi="Times New Roman"/>
                <w:sz w:val="16"/>
                <w:szCs w:val="16"/>
              </w:rPr>
              <w:t xml:space="preserve">interpretable audit signal</w:t>
            </w:r>
          </w:p>
        </w:tc>
      </w:tr>
      <w:tr>
        <w:tc>
          <w:tcPr>
            <w:tcW w:type="dxa" w:w="48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jc w:val="left"/>
            </w:pPr>
            <w:r>
              <w:rPr>
                <w:rFonts w:ascii="Times New Roman" w:cs="Times New Roman" w:eastAsia="Times New Roman" w:hAnsi="Times New Roman"/>
                <w:sz w:val="16"/>
                <w:szCs w:val="16"/>
              </w:rPr>
              <w:t xml:space="preserve">3</w:t>
            </w:r>
          </w:p>
        </w:tc>
        <w:tc>
          <w:tcPr>
            <w:tcW w:type="dxa" w:w="264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jc w:val="left"/>
            </w:pPr>
            <w:r>
              <w:rPr>
                <w:rFonts w:ascii="Times New Roman" w:cs="Times New Roman" w:eastAsia="Times New Roman" w:hAnsi="Times New Roman"/>
                <w:sz w:val="16"/>
                <w:szCs w:val="16"/>
              </w:rPr>
              <w:t xml:space="preserve">Abstention as struct response</w:t>
            </w:r>
          </w:p>
        </w:tc>
        <w:tc>
          <w:tcPr>
            <w:tcW w:type="dxa" w:w="264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jc w:val="left"/>
            </w:pPr>
            <w:r>
              <w:rPr>
                <w:rFonts w:ascii="Times New Roman" w:cs="Times New Roman" w:eastAsia="Times New Roman" w:hAnsi="Times New Roman"/>
                <w:sz w:val="16"/>
                <w:szCs w:val="16"/>
              </w:rPr>
              <w:t xml:space="preserve">Confidence score</w:t>
            </w:r>
          </w:p>
        </w:tc>
        <w:tc>
          <w:tcPr>
            <w:tcW w:type="dxa" w:w="7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jc w:val="left"/>
            </w:pPr>
            <w:r>
              <w:rPr>
                <w:rFonts w:ascii="Times New Roman" w:cs="Times New Roman" w:eastAsia="Times New Roman" w:hAnsi="Times New Roman"/>
                <w:sz w:val="16"/>
                <w:szCs w:val="16"/>
              </w:rPr>
              <w:t xml:space="preserve">low</w:t>
            </w:r>
          </w:p>
        </w:tc>
        <w:tc>
          <w:tcPr>
            <w:tcW w:type="dxa" w:w="19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jc w:val="left"/>
            </w:pPr>
            <w:r>
              <w:rPr>
                <w:rFonts w:ascii="Times New Roman" w:cs="Times New Roman" w:eastAsia="Times New Roman" w:hAnsi="Times New Roman"/>
                <w:sz w:val="16"/>
                <w:szCs w:val="16"/>
              </w:rPr>
              <w:t xml:space="preserve">API-surface visibility</w:t>
            </w:r>
          </w:p>
        </w:tc>
      </w:tr>
      <w:tr>
        <w:tc>
          <w:tcPr>
            <w:tcW w:type="dxa" w:w="48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jc w:val="left"/>
            </w:pPr>
            <w:r>
              <w:rPr>
                <w:rFonts w:ascii="Times New Roman" w:cs="Times New Roman" w:eastAsia="Times New Roman" w:hAnsi="Times New Roman"/>
                <w:sz w:val="16"/>
                <w:szCs w:val="16"/>
              </w:rPr>
              <w:t xml:space="preserve">4</w:t>
            </w:r>
          </w:p>
        </w:tc>
        <w:tc>
          <w:tcPr>
            <w:tcW w:type="dxa" w:w="264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jc w:val="left"/>
            </w:pPr>
            <w:r>
              <w:rPr>
                <w:rFonts w:ascii="Times New Roman" w:cs="Times New Roman" w:eastAsia="Times New Roman" w:hAnsi="Times New Roman"/>
                <w:sz w:val="16"/>
                <w:szCs w:val="16"/>
              </w:rPr>
              <w:t xml:space="preserve">Validator as code</w:t>
            </w:r>
          </w:p>
        </w:tc>
        <w:tc>
          <w:tcPr>
            <w:tcW w:type="dxa" w:w="264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jc w:val="left"/>
            </w:pPr>
            <w:r>
              <w:rPr>
                <w:rFonts w:ascii="Times New Roman" w:cs="Times New Roman" w:eastAsia="Times New Roman" w:hAnsi="Times New Roman"/>
                <w:sz w:val="16"/>
                <w:szCs w:val="16"/>
              </w:rPr>
              <w:t xml:space="preserve">Validator via prompt</w:t>
            </w:r>
          </w:p>
        </w:tc>
        <w:tc>
          <w:tcPr>
            <w:tcW w:type="dxa" w:w="7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jc w:val="left"/>
            </w:pPr>
            <w:r>
              <w:rPr>
                <w:rFonts w:ascii="Times New Roman" w:cs="Times New Roman" w:eastAsia="Times New Roman" w:hAnsi="Times New Roman"/>
                <w:sz w:val="16"/>
                <w:szCs w:val="16"/>
              </w:rPr>
              <w:t xml:space="preserve">low</w:t>
            </w:r>
          </w:p>
        </w:tc>
        <w:tc>
          <w:tcPr>
            <w:tcW w:type="dxa" w:w="19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jc w:val="left"/>
            </w:pPr>
            <w:r>
              <w:rPr>
                <w:rFonts w:ascii="Times New Roman" w:cs="Times New Roman" w:eastAsia="Times New Roman" w:hAnsi="Times New Roman"/>
                <w:sz w:val="16"/>
                <w:szCs w:val="16"/>
              </w:rPr>
              <w:t xml:space="preserve">100% citation fidelity</w:t>
            </w:r>
          </w:p>
        </w:tc>
      </w:tr>
      <w:tr>
        <w:tc>
          <w:tcPr>
            <w:tcW w:type="dxa" w:w="48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jc w:val="left"/>
            </w:pPr>
            <w:r>
              <w:rPr>
                <w:rFonts w:ascii="Times New Roman" w:cs="Times New Roman" w:eastAsia="Times New Roman" w:hAnsi="Times New Roman"/>
                <w:sz w:val="16"/>
                <w:szCs w:val="16"/>
              </w:rPr>
              <w:t xml:space="preserve">5</w:t>
            </w:r>
          </w:p>
        </w:tc>
        <w:tc>
          <w:tcPr>
            <w:tcW w:type="dxa" w:w="264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jc w:val="left"/>
            </w:pPr>
            <w:r>
              <w:rPr>
                <w:rFonts w:ascii="Times New Roman" w:cs="Times New Roman" w:eastAsia="Times New Roman" w:hAnsi="Times New Roman"/>
                <w:sz w:val="16"/>
                <w:szCs w:val="16"/>
              </w:rPr>
              <w:t xml:space="preserve">Stub fallback</w:t>
            </w:r>
          </w:p>
        </w:tc>
        <w:tc>
          <w:tcPr>
            <w:tcW w:type="dxa" w:w="264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jc w:val="left"/>
            </w:pPr>
            <w:r>
              <w:rPr>
                <w:rFonts w:ascii="Times New Roman" w:cs="Times New Roman" w:eastAsia="Times New Roman" w:hAnsi="Times New Roman"/>
                <w:sz w:val="16"/>
                <w:szCs w:val="16"/>
              </w:rPr>
              <w:t xml:space="preserve">LLM-only</w:t>
            </w:r>
          </w:p>
        </w:tc>
        <w:tc>
          <w:tcPr>
            <w:tcW w:type="dxa" w:w="7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jc w:val="left"/>
            </w:pPr>
            <w:r>
              <w:rPr>
                <w:rFonts w:ascii="Times New Roman" w:cs="Times New Roman" w:eastAsia="Times New Roman" w:hAnsi="Times New Roman"/>
                <w:sz w:val="16"/>
                <w:szCs w:val="16"/>
              </w:rPr>
              <w:t xml:space="preserve">low</w:t>
            </w:r>
          </w:p>
        </w:tc>
        <w:tc>
          <w:tcPr>
            <w:tcW w:type="dxa" w:w="19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jc w:val="left"/>
            </w:pPr>
            <w:r>
              <w:rPr>
                <w:rFonts w:ascii="Times New Roman" w:cs="Times New Roman" w:eastAsia="Times New Roman" w:hAnsi="Times New Roman"/>
                <w:sz w:val="16"/>
                <w:szCs w:val="16"/>
              </w:rPr>
              <w:t xml:space="preserve">reproducibility, ops resilience</w:t>
            </w:r>
          </w:p>
        </w:tc>
      </w:tr>
      <w:tr>
        <w:tc>
          <w:tcPr>
            <w:tcW w:type="dxa" w:w="48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jc w:val="left"/>
            </w:pPr>
            <w:r>
              <w:rPr>
                <w:rFonts w:ascii="Times New Roman" w:cs="Times New Roman" w:eastAsia="Times New Roman" w:hAnsi="Times New Roman"/>
                <w:sz w:val="16"/>
                <w:szCs w:val="16"/>
              </w:rPr>
              <w:t xml:space="preserve">6</w:t>
            </w:r>
          </w:p>
        </w:tc>
        <w:tc>
          <w:tcPr>
            <w:tcW w:type="dxa" w:w="264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jc w:val="left"/>
            </w:pPr>
            <w:r>
              <w:rPr>
                <w:rFonts w:ascii="Times New Roman" w:cs="Times New Roman" w:eastAsia="Times New Roman" w:hAnsi="Times New Roman"/>
                <w:sz w:val="16"/>
                <w:szCs w:val="16"/>
              </w:rPr>
              <w:t xml:space="preserve">Typed schema + trace</w:t>
            </w:r>
          </w:p>
        </w:tc>
        <w:tc>
          <w:tcPr>
            <w:tcW w:type="dxa" w:w="264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jc w:val="left"/>
            </w:pPr>
            <w:r>
              <w:rPr>
                <w:rFonts w:ascii="Times New Roman" w:cs="Times New Roman" w:eastAsia="Times New Roman" w:hAnsi="Times New Roman"/>
                <w:sz w:val="16"/>
                <w:szCs w:val="16"/>
              </w:rPr>
              <w:t xml:space="preserve">Free-form output</w:t>
            </w:r>
          </w:p>
        </w:tc>
        <w:tc>
          <w:tcPr>
            <w:tcW w:type="dxa" w:w="7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jc w:val="left"/>
            </w:pPr>
            <w:r>
              <w:rPr>
                <w:rFonts w:ascii="Times New Roman" w:cs="Times New Roman" w:eastAsia="Times New Roman" w:hAnsi="Times New Roman"/>
                <w:sz w:val="16"/>
                <w:szCs w:val="16"/>
              </w:rPr>
              <w:t xml:space="preserve">low</w:t>
            </w:r>
          </w:p>
        </w:tc>
        <w:tc>
          <w:tcPr>
            <w:tcW w:type="dxa" w:w="19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jc w:val="left"/>
            </w:pPr>
            <w:r>
              <w:rPr>
                <w:rFonts w:ascii="Times New Roman" w:cs="Times New Roman" w:eastAsia="Times New Roman" w:hAnsi="Times New Roman"/>
                <w:sz w:val="16"/>
                <w:szCs w:val="16"/>
              </w:rPr>
              <w:t xml:space="preserve">deployment-reviewable</w:t>
            </w:r>
          </w:p>
        </w:tc>
      </w:tr>
    </w:tbl>
    <w:p>
      <w:pPr>
        <w:spacing w:after="160" w:before="40" w:line="220"/>
        <w:jc w:val="center"/>
      </w:pPr>
      <w:r>
        <w:rPr>
          <w:rFonts w:ascii="Times New Roman" w:cs="Times New Roman" w:eastAsia="Times New Roman" w:hAnsi="Times New Roman"/>
          <w:i/>
          <w:iCs/>
          <w:sz w:val="16"/>
          <w:szCs w:val="16"/>
        </w:rPr>
        <w:t xml:space="preserve">TABLE I: Six engineering choices, their rejected alternatives, and the deployment payoff. Every choice costs less than ten lines of code; together they account for most of the deployment-readiness gap.</w:t>
      </w:r>
    </w:p>
    <w:p>
      <w:pPr>
        <w:spacing w:after="80" w:before="200" w:line="240"/>
        <w:jc w:val="center"/>
      </w:pPr>
      <w:r>
        <w:rPr>
          <w:rFonts w:ascii="Times New Roman" w:cs="Times New Roman" w:eastAsia="Times New Roman" w:hAnsi="Times New Roman"/>
          <w:b/>
          <w:bCs/>
          <w:smallCaps/>
          <w:sz w:val="20"/>
          <w:szCs w:val="20"/>
        </w:rPr>
        <w:t xml:space="preserve">IX. Limitations</w:t>
      </w:r>
    </w:p>
    <w:p>
      <w:pPr>
        <w:spacing w:after="80" w:before="0" w:line="240"/>
        <w:ind w:firstLine="200"/>
        <w:jc w:val="both"/>
      </w:pPr>
      <w:r>
        <w:rPr>
          <w:rFonts w:ascii="Times New Roman" w:cs="Times New Roman" w:eastAsia="Times New Roman" w:hAnsi="Times New Roman"/>
          <w:sz w:val="20"/>
          <w:szCs w:val="20"/>
        </w:rPr>
        <w:t xml:space="preserve">The lessons are extracted from a single system on a single corpus. We have not characterised the same six choices under different LLM generators, different corpora, or different team sizes. The headline numbers (100% topic, 87.5% variant, 100% citation fidelity, 85.7% abstention, 0.04 ms pipeline overhead) are from an eight-scenario in-domain harness that is small and not representative of production traffic.</w:t>
      </w:r>
    </w:p>
    <w:p>
      <w:pPr>
        <w:spacing w:after="80" w:before="200" w:line="240"/>
        <w:jc w:val="center"/>
      </w:pPr>
      <w:r>
        <w:rPr>
          <w:rFonts w:ascii="Times New Roman" w:cs="Times New Roman" w:eastAsia="Times New Roman" w:hAnsi="Times New Roman"/>
          <w:b/>
          <w:bCs/>
          <w:smallCaps/>
          <w:sz w:val="20"/>
          <w:szCs w:val="20"/>
        </w:rPr>
        <w:t xml:space="preserve">X. Conclusion</w:t>
      </w:r>
    </w:p>
    <w:p>
      <w:pPr>
        <w:spacing w:after="80" w:before="0" w:line="240"/>
        <w:ind w:firstLine="200"/>
        <w:jc w:val="both"/>
      </w:pPr>
      <w:r>
        <w:rPr>
          <w:rFonts w:ascii="Times New Roman" w:cs="Times New Roman" w:eastAsia="Times New Roman" w:hAnsi="Times New Roman"/>
          <w:sz w:val="20"/>
          <w:szCs w:val="20"/>
        </w:rPr>
        <w:t xml:space="preserve">We extracted six engineering choices from a production-style citation-faithful clinical RAG system. Each choice costs little; together they account for most of the deployment-readiness gap between research demonstrations and clinical-IT-reviewable systems. We commend the six choices as defaults for any team starting a clinical-RAG project today.</w:t>
      </w:r>
    </w:p>
    <w:p>
      <w:pPr>
        <w:spacing w:after="80" w:before="200" w:line="240"/>
        <w:jc w:val="center"/>
      </w:pPr>
      <w:r>
        <w:rPr>
          <w:rFonts w:ascii="Times New Roman" w:cs="Times New Roman" w:eastAsia="Times New Roman" w:hAnsi="Times New Roman"/>
          <w:b/>
          <w:bCs/>
          <w:smallCaps/>
          <w:sz w:val="20"/>
          <w:szCs w:val="20"/>
        </w:rPr>
        <w:t xml:space="preserve">References</w:t>
      </w:r>
    </w:p>
    <w:p>
      <w:pPr>
        <w:spacing w:after="50" w:before="0" w:line="200"/>
        <w:ind w:left="240" w:hanging="240"/>
        <w:jc w:val="both"/>
      </w:pPr>
      <w:r>
        <w:rPr>
          <w:rFonts w:ascii="Times New Roman" w:cs="Times New Roman" w:eastAsia="Times New Roman" w:hAnsi="Times New Roman"/>
          <w:sz w:val="16"/>
          <w:szCs w:val="16"/>
        </w:rPr>
        <w:t xml:space="preserve">[1] K. Singhal, S. Azizi, T. Tu et al., "Large Language Models Encode Clinical Knowledge," Nature, vol. 620, no. 7972, pp. 172–180, 2023.</w:t>
      </w:r>
    </w:p>
    <w:p>
      <w:pPr>
        <w:spacing w:after="50" w:before="0" w:line="200"/>
        <w:ind w:left="240" w:hanging="240"/>
        <w:jc w:val="both"/>
      </w:pPr>
      <w:r>
        <w:rPr>
          <w:rFonts w:ascii="Times New Roman" w:cs="Times New Roman" w:eastAsia="Times New Roman" w:hAnsi="Times New Roman"/>
          <w:sz w:val="16"/>
          <w:szCs w:val="16"/>
        </w:rPr>
        <w:t xml:space="preserve">[2] K. Singhal, T. Tu, J. Gottweis et al., "Toward Expert-Level Medical Question Answering with Large Language Models," Nature Medicine, vol. 31, pp. 943–950, 2025.</w:t>
      </w:r>
    </w:p>
    <w:p>
      <w:pPr>
        <w:spacing w:after="50" w:before="0" w:line="200"/>
        <w:ind w:left="240" w:hanging="240"/>
        <w:jc w:val="both"/>
      </w:pPr>
      <w:r>
        <w:rPr>
          <w:rFonts w:ascii="Times New Roman" w:cs="Times New Roman" w:eastAsia="Times New Roman" w:hAnsi="Times New Roman"/>
          <w:sz w:val="16"/>
          <w:szCs w:val="16"/>
        </w:rPr>
        <w:t xml:space="preserve">[3] H. Nori, N. King, S. M. McKinney, D. Carignan, and E. Horvitz, "Capabilities of GPT-4 on Medical Challenge Problems," arXiv:2303.13375, 2023.</w:t>
      </w:r>
    </w:p>
    <w:p>
      <w:pPr>
        <w:spacing w:after="50" w:before="0" w:line="200"/>
        <w:ind w:left="240" w:hanging="240"/>
        <w:jc w:val="both"/>
      </w:pPr>
      <w:r>
        <w:rPr>
          <w:rFonts w:ascii="Times New Roman" w:cs="Times New Roman" w:eastAsia="Times New Roman" w:hAnsi="Times New Roman"/>
          <w:sz w:val="16"/>
          <w:szCs w:val="16"/>
        </w:rPr>
        <w:t xml:space="preserve">[4] Z. Kanjee, B. Crowe, and A. Rodman, "Accuracy of a Generative Artificial Intelligence Model in a Complex Diagnostic Challenge," JAMA, vol. 330, no. 1, pp. 78–80, 2023.</w:t>
      </w:r>
    </w:p>
    <w:p>
      <w:pPr>
        <w:spacing w:after="50" w:before="0" w:line="200"/>
        <w:ind w:left="240" w:hanging="240"/>
        <w:jc w:val="both"/>
      </w:pPr>
      <w:r>
        <w:rPr>
          <w:rFonts w:ascii="Times New Roman" w:cs="Times New Roman" w:eastAsia="Times New Roman" w:hAnsi="Times New Roman"/>
          <w:sz w:val="16"/>
          <w:szCs w:val="16"/>
        </w:rPr>
        <w:t xml:space="preserve">[5] E. Goh, R. Gallo, J. Hom et al., "Large Language Model Influence on Diagnostic Reasoning: A Randomized Clinical Trial," JAMA Network Open, vol. 7, no. 10, e2440969, 2024.</w:t>
      </w:r>
    </w:p>
    <w:p>
      <w:pPr>
        <w:spacing w:after="50" w:before="0" w:line="200"/>
        <w:ind w:left="240" w:hanging="240"/>
        <w:jc w:val="both"/>
      </w:pPr>
      <w:r>
        <w:rPr>
          <w:rFonts w:ascii="Times New Roman" w:cs="Times New Roman" w:eastAsia="Times New Roman" w:hAnsi="Times New Roman"/>
          <w:sz w:val="16"/>
          <w:szCs w:val="16"/>
        </w:rPr>
        <w:t xml:space="preserve">[6] D. A. Kurth, B. K. Karmazyn, C. A. Waldrip, M. Chatfield, and M. E. Lockhart, "ACR Appropriateness Criteria® Methodology," J. Am. Coll. Radiol., vol. 18, no. 11S, pp. S240–S250, 2021.</w:t>
      </w:r>
    </w:p>
    <w:p>
      <w:pPr>
        <w:spacing w:after="50" w:before="0" w:line="200"/>
        <w:ind w:left="240" w:hanging="240"/>
        <w:jc w:val="both"/>
      </w:pPr>
      <w:r>
        <w:rPr>
          <w:rFonts w:ascii="Times New Roman" w:cs="Times New Roman" w:eastAsia="Times New Roman" w:hAnsi="Times New Roman"/>
          <w:sz w:val="16"/>
          <w:szCs w:val="16"/>
        </w:rPr>
        <w:t xml:space="preserve">[7] C. L. Sistrom, "In Support of the ACR Appropriateness Criteria," J. Am. Coll. Radiol., vol. 5, no. 5, pp. 630–635, 2008.</w:t>
      </w:r>
    </w:p>
    <w:p>
      <w:pPr>
        <w:spacing w:after="50" w:before="0" w:line="200"/>
        <w:ind w:left="240" w:hanging="240"/>
        <w:jc w:val="both"/>
      </w:pPr>
      <w:r>
        <w:rPr>
          <w:rFonts w:ascii="Times New Roman" w:cs="Times New Roman" w:eastAsia="Times New Roman" w:hAnsi="Times New Roman"/>
          <w:sz w:val="16"/>
          <w:szCs w:val="16"/>
        </w:rPr>
        <w:t xml:space="preserve">[8] V. Karpukhin, B. Oğuz, S. Min, P. Lewis, L. Wu, S. Edunov, D. Chen, and W. Yih, "Dense Passage Retrieval for Open-Domain Question Answering," in Proc. EMNLP, 2020, pp. 6769–6781.</w:t>
      </w:r>
    </w:p>
    <w:p>
      <w:pPr>
        <w:spacing w:after="50" w:before="0" w:line="200"/>
        <w:ind w:left="240" w:hanging="240"/>
        <w:jc w:val="both"/>
      </w:pPr>
      <w:r>
        <w:rPr>
          <w:rFonts w:ascii="Times New Roman" w:cs="Times New Roman" w:eastAsia="Times New Roman" w:hAnsi="Times New Roman"/>
          <w:sz w:val="16"/>
          <w:szCs w:val="16"/>
        </w:rPr>
        <w:t xml:space="preserve">[9] G. Izacard and E. Grave, "Leveraging Passage Retrieval with Generative Models for Open Domain Question Answering," in Proc. EACL, 2021, pp. 874–880.</w:t>
      </w:r>
    </w:p>
    <w:p>
      <w:pPr>
        <w:spacing w:after="50" w:before="0" w:line="200"/>
        <w:ind w:left="240" w:hanging="240"/>
        <w:jc w:val="both"/>
      </w:pPr>
      <w:r>
        <w:rPr>
          <w:rFonts w:ascii="Times New Roman" w:cs="Times New Roman" w:eastAsia="Times New Roman" w:hAnsi="Times New Roman"/>
          <w:sz w:val="16"/>
          <w:szCs w:val="16"/>
        </w:rPr>
        <w:t xml:space="preserve">[10] L. Gao, X. Ma, J. Lin, and J. Callan, "Precise Zero-Shot Dense Retrieval without Relevance Labels," in Proc. ACL, 2023, pp. 1762–1777.</w:t>
      </w:r>
    </w:p>
    <w:p>
      <w:pPr>
        <w:spacing w:after="50" w:before="0" w:line="200"/>
        <w:ind w:left="240" w:hanging="240"/>
        <w:jc w:val="both"/>
      </w:pPr>
      <w:r>
        <w:rPr>
          <w:rFonts w:ascii="Times New Roman" w:cs="Times New Roman" w:eastAsia="Times New Roman" w:hAnsi="Times New Roman"/>
          <w:sz w:val="16"/>
          <w:szCs w:val="16"/>
        </w:rPr>
        <w:t xml:space="preserve">[11] S. Robertson and H. Zaragoza, "The Probabilistic Relevance Framework: BM25 and Beyond," Foundations and Trends in Information Retrieval, vol. 3, no. 4, pp. 333–389, 2009. doi:10.1561/1500000019.</w:t>
      </w:r>
    </w:p>
    <w:p>
      <w:pPr>
        <w:spacing w:after="50" w:before="0" w:line="200"/>
        <w:ind w:left="240" w:hanging="240"/>
        <w:jc w:val="both"/>
      </w:pPr>
      <w:r>
        <w:rPr>
          <w:rFonts w:ascii="Times New Roman" w:cs="Times New Roman" w:eastAsia="Times New Roman" w:hAnsi="Times New Roman"/>
          <w:sz w:val="16"/>
          <w:szCs w:val="16"/>
        </w:rPr>
        <w:t xml:space="preserve">[12] A. Trotman, A. Puurula, and B. Burgess, "Improvements to BM25 and Language Models Examined," in Proc. Australasian Document Computing Symp. (ADCS), 2014, pp. 58–66.</w:t>
      </w:r>
    </w:p>
    <w:p>
      <w:pPr>
        <w:spacing w:after="50" w:before="0" w:line="200"/>
        <w:ind w:left="240" w:hanging="240"/>
        <w:jc w:val="both"/>
      </w:pPr>
      <w:r>
        <w:rPr>
          <w:rFonts w:ascii="Times New Roman" w:cs="Times New Roman" w:eastAsia="Times New Roman" w:hAnsi="Times New Roman"/>
          <w:sz w:val="16"/>
          <w:szCs w:val="16"/>
        </w:rPr>
        <w:t xml:space="preserve">[13] A. Kamath, R. Jia, and P. Liang, "Selective Question Answering under Domain Shift," in Proc. ACL, 2020, pp. 5684–5696.</w:t>
      </w:r>
    </w:p>
    <w:p>
      <w:pPr>
        <w:spacing w:after="50" w:before="0" w:line="200"/>
        <w:ind w:left="240" w:hanging="240"/>
        <w:jc w:val="both"/>
      </w:pPr>
      <w:r>
        <w:rPr>
          <w:rFonts w:ascii="Times New Roman" w:cs="Times New Roman" w:eastAsia="Times New Roman" w:hAnsi="Times New Roman"/>
          <w:sz w:val="16"/>
          <w:szCs w:val="16"/>
        </w:rPr>
        <w:t xml:space="preserve">[14] N. Varshney, S. Mishra, and C. Baral, "Investigating Selective Prediction Approaches Across Several Tasks in IID, OOD, and Adversarial Settings," in Findings of ACL, 2022, pp. 1995–2002.</w:t>
      </w:r>
    </w:p>
    <w:p>
      <w:pPr>
        <w:spacing w:after="50" w:before="0" w:line="200"/>
        <w:ind w:left="240" w:hanging="240"/>
        <w:jc w:val="both"/>
      </w:pPr>
      <w:r>
        <w:rPr>
          <w:rFonts w:ascii="Times New Roman" w:cs="Times New Roman" w:eastAsia="Times New Roman" w:hAnsi="Times New Roman"/>
          <w:sz w:val="16"/>
          <w:szCs w:val="16"/>
        </w:rPr>
        <w:t xml:space="preserve">[15] S. M. T. I. Tonmoy, S. M. M. Zaman, V. Jain, A. Rani, V. Rawte, A. Chadha, and A. Das, "A Comprehensive Survey of Hallucination Mitigation Techniques in Large Language Models," arXiv:2401.01313, 2024.</w:t>
      </w:r>
    </w:p>
    <w:p>
      <w:pPr>
        <w:spacing w:after="50" w:before="0" w:line="200"/>
        <w:ind w:left="240" w:hanging="240"/>
        <w:jc w:val="both"/>
      </w:pPr>
      <w:r>
        <w:rPr>
          <w:rFonts w:ascii="Times New Roman" w:cs="Times New Roman" w:eastAsia="Times New Roman" w:hAnsi="Times New Roman"/>
          <w:sz w:val="16"/>
          <w:szCs w:val="16"/>
        </w:rPr>
        <w:t xml:space="preserve">[16] B. Bohnet, V. Q. Tran, P. Verga et al., "Attributed Question Answering: Evaluation and Modeling for Attributed Large Language Models," arXiv:2212.08037, 2022.</w:t>
      </w:r>
    </w:p>
    <w:p>
      <w:pPr>
        <w:spacing w:after="50" w:before="0" w:line="200"/>
        <w:ind w:left="240" w:hanging="240"/>
        <w:jc w:val="both"/>
      </w:pPr>
      <w:r>
        <w:rPr>
          <w:rFonts w:ascii="Times New Roman" w:cs="Times New Roman" w:eastAsia="Times New Roman" w:hAnsi="Times New Roman"/>
          <w:sz w:val="16"/>
          <w:szCs w:val="16"/>
        </w:rPr>
        <w:t xml:space="preserve">[17] H. Rashkin, V. Nikolaev, M. Lamm, L. Aroyo, M. Collins, D. Das, S. Petrov, G. S. Tomar, I. Turc, and D. Reitter, "Measuring Attribution in Natural Language Generation Models," Computational Linguistics, vol. 49, no. 4, pp. 777–840, 2023.</w:t>
      </w:r>
    </w:p>
    <w:p>
      <w:pPr>
        <w:spacing w:after="50" w:before="0" w:line="200"/>
        <w:ind w:left="240" w:hanging="240"/>
        <w:jc w:val="both"/>
      </w:pPr>
      <w:r>
        <w:rPr>
          <w:rFonts w:ascii="Times New Roman" w:cs="Times New Roman" w:eastAsia="Times New Roman" w:hAnsi="Times New Roman"/>
          <w:sz w:val="16"/>
          <w:szCs w:val="16"/>
        </w:rPr>
        <w:t xml:space="preserve">[18] L. Gao, Z. Dai, P. Pasupat et al., "RARR: Researching and Revising What Language Models Say, Using Language Models," in Proc. ACL, 2023, pp. 16477–16508.</w:t>
      </w:r>
    </w:p>
    <w:p>
      <w:pPr>
        <w:spacing w:after="50" w:before="0" w:line="200"/>
        <w:ind w:left="240" w:hanging="240"/>
        <w:jc w:val="both"/>
      </w:pPr>
      <w:r>
        <w:rPr>
          <w:rFonts w:ascii="Times New Roman" w:cs="Times New Roman" w:eastAsia="Times New Roman" w:hAnsi="Times New Roman"/>
          <w:sz w:val="16"/>
          <w:szCs w:val="16"/>
        </w:rPr>
        <w:t xml:space="preserve">[19] J. Pineau, P. Vincent-Lamarre, K. Sinha, V. Larivière, A. Beygelzimer, F. d'Alché-Buc, E. Fox, and H. Larochelle, "Improving Reproducibility in Machine Learning Research (A Report from the NeurIPS 2019 Reproducibility Program)," J. Machine Learning Research, vol. 22, no. 164, pp. 1–20, 2021.</w:t>
      </w:r>
    </w:p>
    <w:p>
      <w:pPr>
        <w:spacing w:after="50" w:before="0" w:line="200"/>
        <w:ind w:left="240" w:hanging="240"/>
        <w:jc w:val="both"/>
      </w:pPr>
      <w:r>
        <w:rPr>
          <w:rFonts w:ascii="Times New Roman" w:cs="Times New Roman" w:eastAsia="Times New Roman" w:hAnsi="Times New Roman"/>
          <w:sz w:val="16"/>
          <w:szCs w:val="16"/>
        </w:rPr>
        <w:t xml:space="preserve">[20] M. D. Wilkinson, M. Dumontier, I. J. Aalbersberg et al., "The FAIR Guiding Principles for Scientific Data Management and Stewardship," Scientific Data, vol. 3, art. 160018, 2016.</w:t>
      </w:r>
    </w:p>
    <w:p>
      <w:pPr>
        <w:spacing w:after="50" w:before="0" w:line="200"/>
        <w:ind w:left="240" w:hanging="240"/>
        <w:jc w:val="both"/>
      </w:pPr>
      <w:r>
        <w:rPr>
          <w:rFonts w:ascii="Times New Roman" w:cs="Times New Roman" w:eastAsia="Times New Roman" w:hAnsi="Times New Roman"/>
          <w:sz w:val="16"/>
          <w:szCs w:val="16"/>
        </w:rPr>
        <w:t xml:space="preserve">[21] M. Mitchell, S. Wu, A. Zaldivar, P. Barnes, L. Vasserman, B. Hutchinson, E. Spitzer, I. D. Raji, and T. Gebru, "Model Cards for Model Reporting," in Proc. ACM Conf. on Fairness, Accountability, and Transparency (FAT*/FAccT), 2019, pp. 220–229.</w:t>
      </w:r>
    </w:p>
    <w:p>
      <w:pPr>
        <w:spacing w:after="50" w:before="0" w:line="200"/>
        <w:ind w:left="240" w:hanging="240"/>
        <w:jc w:val="both"/>
      </w:pPr>
      <w:r>
        <w:rPr>
          <w:rFonts w:ascii="Times New Roman" w:cs="Times New Roman" w:eastAsia="Times New Roman" w:hAnsi="Times New Roman"/>
          <w:sz w:val="16"/>
          <w:szCs w:val="16"/>
        </w:rPr>
        <w:t xml:space="preserve">[22] T. Gebru, J. Morgenstern, B. Vecchione, J. W. Vaughan, H. Wallach, H. Daumé III, and K. Crawford, "Datasheets for Datasets," Communications of the ACM, vol. 64, no. 12, pp. 86–92, 2021.</w:t>
      </w:r>
    </w:p>
    <w:p>
      <w:pPr>
        <w:spacing w:after="50" w:before="0" w:line="200"/>
        <w:ind w:left="240" w:hanging="240"/>
        <w:jc w:val="both"/>
      </w:pPr>
      <w:r>
        <w:rPr>
          <w:rFonts w:ascii="Times New Roman" w:cs="Times New Roman" w:eastAsia="Times New Roman" w:hAnsi="Times New Roman"/>
          <w:sz w:val="16"/>
          <w:szCs w:val="16"/>
        </w:rPr>
        <w:t xml:space="preserve">[23] E. M. Bender and B. Friedman, "Data Statements for Natural Language Processing: Toward Mitigating System Bias and Enabling Better Science," Trans. Assoc. Comput. Linguistics, vol. 6, pp. 587–604, 2018.</w:t>
      </w:r>
    </w:p>
    <w:sectPr>
      <w:type w:val="continuous"/>
      <w:pgSz w:w="12240" w:h="15840" w:orient="portrait"/>
      <w:pgMar w:top="1080" w:right="900" w:bottom="1440" w:left="900" w:header="708" w:footer="708" w:gutter="0"/>
      <w:pgNumType/>
      <w:cols w:space="360" w:num="2" w:sep="false" w:equalWidth="tru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abstractNum w:abstractNumId="3" w15:restartNumberingAfterBreak="0">
    <w:multiLevelType w:val="hybridMultilevel"/>
    <w:lvl w:ilvl="0" w15:tentative="1">
      <w:start w:val="1"/>
      <w:numFmt w:val="decimal"/>
      <w:lvlText w:val="%1)"/>
      <w:lvlJc w:val="left"/>
      <w:pPr>
        <w:ind w:left="360" w:hanging="20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IEEETitle">
    <w:name w:val="IEEE Title"/>
    <w:basedOn w:val="Normal"/>
    <w:next w:val="Normal"/>
    <w:qFormat/>
    <w:pPr>
      <w:spacing w:after="240" w:before="0" w:line="280"/>
      <w:jc w:val="center"/>
    </w:pPr>
    <w:rPr>
      <w:rFonts w:ascii="Times New Roman" w:cs="Times New Roman" w:eastAsia="Times New Roman" w:hAnsi="Times New Roman"/>
      <w:b/>
      <w:bCs/>
      <w:sz w:val="48"/>
      <w:szCs w:val="48"/>
    </w:rPr>
  </w:style>
  <w:style w:type="paragraph" w:styleId="IEEEAuthor">
    <w:name w:val="IEEE Author"/>
    <w:basedOn w:val="Normal"/>
    <w:next w:val="Normal"/>
    <w:qFormat/>
    <w:pPr>
      <w:spacing w:after="80" w:before="80" w:line="240"/>
      <w:jc w:val="center"/>
    </w:pPr>
    <w:rPr>
      <w:rFonts w:ascii="Times New Roman" w:cs="Times New Roman" w:eastAsia="Times New Roman" w:hAnsi="Times New Roman"/>
      <w:sz w:val="22"/>
      <w:szCs w:val="22"/>
    </w:rPr>
  </w:style>
  <w:style w:type="paragraph" w:styleId="Heading1">
    <w:name w:val="Heading 1"/>
    <w:basedOn w:val="Normal"/>
    <w:next w:val="Normal"/>
    <w:qFormat/>
    <w:pPr>
      <w:spacing w:after="100" w:before="200" w:line="240"/>
      <w:jc w:val="center"/>
      <w:outlineLvl w:val="0"/>
    </w:pPr>
    <w:rPr>
      <w:rFonts w:ascii="Times New Roman" w:cs="Times New Roman" w:eastAsia="Times New Roman" w:hAnsi="Times New Roman"/>
      <w:b/>
      <w:bCs/>
      <w:smallCaps/>
      <w:sz w:val="20"/>
      <w:szCs w:val="20"/>
    </w:rPr>
  </w:style>
  <w:style w:type="paragraph" w:styleId="Heading2">
    <w:name w:val="Heading 2"/>
    <w:basedOn w:val="Normal"/>
    <w:next w:val="Normal"/>
    <w:qFormat/>
    <w:pPr>
      <w:spacing w:after="60" w:before="140" w:line="240"/>
      <w:outlineLvl w:val="1"/>
    </w:pPr>
    <w:rPr>
      <w:rFonts w:ascii="Times New Roman" w:cs="Times New Roman" w:eastAsia="Times New Roman" w:hAnsi="Times New Roman"/>
      <w:i/>
      <w:iCs/>
      <w:sz w:val="20"/>
      <w:szCs w:val="20"/>
    </w:rPr>
  </w:style>
  <w:style w:type="paragraph" w:styleId="IEEECaption">
    <w:name w:val="IEEE Caption"/>
    <w:basedOn w:val="Normal"/>
    <w:next w:val="Normal"/>
    <w:qFormat/>
    <w:pPr>
      <w:spacing w:after="160" w:before="60" w:line="220"/>
      <w:jc w:val="center"/>
    </w:pPr>
    <w:rPr>
      <w:rFonts w:ascii="Times New Roman" w:cs="Times New Roman" w:eastAsia="Times New Roman" w:hAnsi="Times New Roman"/>
      <w:sz w:val="16"/>
      <w:szCs w:val="1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2026-04-29T02:56:34.215Z</dcterms:created>
  <dcterms:modified xsi:type="dcterms:W3CDTF">2026-04-29T02:56:34.215Z</dcterms:modified>
</cp:coreProperties>
</file>

<file path=docProps/custom.xml><?xml version="1.0" encoding="utf-8"?>
<Properties xmlns="http://schemas.openxmlformats.org/officeDocument/2006/custom-properties" xmlns:vt="http://schemas.openxmlformats.org/officeDocument/2006/docPropsVTypes"/>
</file>