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sz w:val="48"/>
          <w:szCs w:val="48"/>
        </w:rPr>
        <w:t xml:space="preserve">Designing for Trust Calibration in Citation-Verified Clinical RAG: A Human-Centred Study Design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[Author Name]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[Department / Affiliation]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[City, Country]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[email@domain]</w:t>
      </w:r>
    </w:p>
    <w:p>
      <w:pPr>
        <w:sectPr>
          <w:type w:val="continuous"/>
          <w:pgSz w:w="12240" w:h="15840" w:orient="portrait"/>
          <w:pgMar w:top="1080" w:right="900" w:bottom="1440" w:left="900" w:header="708" w:footer="708" w:gutter="0"/>
          <w:pgNumType/>
          <w:cols w:space="360" w:num="1" w:sep="false" w:equalWidth="true"/>
          <w:docGrid w:linePitch="360"/>
        </w:sectPr>
      </w:pPr>
    </w:p>
    <w:p>
      <w:pPr>
        <w:spacing w:after="120" w:before="0" w:line="220"/>
        <w:ind w:firstLine="20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Abstract—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 Clinical decision-support systems built on large language models (LLMs) face an under-examined human-factors problem: even when the system is correct, clinicians need calibrated confidence to use it; even when it is wrong, clinicians need to detect that fact in seconds. We present the design of a human-AI interaction study for a citation-verified retrieval-augmented generation (RAG) consult-support system grounded in the ACR Appropriateness Criteria. The system surfaces, on every response, the matched topic and variant, ranked recommendations with citation_ids, RRL and IV-contrast safety flags, the retrieval trace, and any rejected (citation-invalid) recommendations. We argue that this rich response shape is the right substrate for trust-calibration research, and we propose a within-subjects study design with three response-rendering conditions (no rationale, citation-only, full audit panel) measured against task accuracy, time-to-decision, and a self-reported trust calibration scale. We report architectural baselines (100% citation fidelity, 87.5% variant accuracy, 0.04 ms pipeline overhead) and a paraphrase-robustness probe (75.0% variant accuracy under paraphrased queries) that motivate the human-factors design. The contribution is a study design and an open instrument set; the empirical outcomes are reserved for a follow-up.</w:t>
      </w:r>
    </w:p>
    <w:p>
      <w:pPr>
        <w:spacing w:after="200" w:before="0" w:line="220"/>
        <w:ind w:firstLine="20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Index Terms—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 Human-AI interaction, trust calibration, clinical decision support, retrieval-augmented generation, ACR Appropriateness Criteria, study design.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I. Introduction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Most clinical-LLM evaluations report task accuracy on a static benchmark and stop there [1], [2], [3], [4]. The unanswered question — and the question that determines deployability — is whether a clinician using the system will calibrate their trust correctly. A radiologist who over-trusts a wrong recommendation is the same harm channel as a radiologist who under-trusts a correct one. Goh et al.'s recent randomised clinical trial showed that an unaided LLM did not reliably improve physician diagnostic reasoning [5]; the implication is that trust-calibration design, not raw model capability, is now the binding constraint.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This paper presents the design of a human-AI interaction study for a working RAG consult-support system grounded in the ACR Appropriateness Criteria [6], [7]. The system has been independently characterised on accuracy and citation fidelity; we focus here on its surface — what it shows the clinician — as the substrate for a trust-calibration intervention. Section II reviews the human-factors literature on AI-mediated decision support. Section III describes the system surface as a designable artifact. Section IV proposes a within-subjects study design. Section V reports architectural baselines and a paraphrase-robustness probe that frame the empirical context. Section VI discusses limitations and the gap between this paper (study design) and a follow-up paper (study results).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II. Related Work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A. Trust calibration in AI-mediated decision support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Calibrated trust — clinician confidence in the system tracking the system's actual accuracy — is the central human-factors variable in AI-augmented clinical decision-making. Prior work in radiology shows that LLM systems can pass board-style exams [1] and produce well-formed structured output [8] yet under deployment fail to translate into improved diagnostic reasoning [5]. The candidate explanation is uncalibrated trust: the response surface offers a confident-looking answer with no mechanism for the clinician to spot-check it.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B. Citation faithfulness as a trust signal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attribution literature [9], [10] treats citation existence as the foundational axis along which an LLM's faithfulness is measured. Post-hoc revision pipelines like RARR [11] push this further. We adopt the position that citation-existence guarantees, when surfaced at the API boundary, are also a trust-calibration affordance — they let the clinician verify the source of any recommendation in seconds.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C. Documentation and disclosure as trust scaffolding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Model cards [12], datasheets [13], and data statements [14] are the documentation artifacts that frame how a clinician should reason about an AI system's reliability boundaries. We adopt these as part of the rendered surface in our study design rather than as documentation outside it.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III. The System Surface as a Designable Artifact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system is a four-stage RAG pipeline [15], [16] grounded in the ACR Appropriateness Criteria. On every consult request the response carries:</w:t>
      </w:r>
    </w:p>
    <w:p>
      <w:pPr>
        <w:pStyle w:val="ListParagraph"/>
        <w:numPr>
          <w:ilvl w:val="0"/>
          <w:numId w:val="2"/>
        </w:numPr>
        <w:spacing w:after="6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Matched topic and variant (with the canonical variant scenario as a verifiable string).</w:t>
      </w:r>
    </w:p>
    <w:p>
      <w:pPr>
        <w:pStyle w:val="ListParagraph"/>
        <w:numPr>
          <w:ilvl w:val="0"/>
          <w:numId w:val="2"/>
        </w:numPr>
        <w:spacing w:after="6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Ranked recommendations with appropriateness rating, category (Usually / May Be / Usually Not), RRL, IV-contrast flag, and citation_id linking back to the panel-rated source chunk.</w:t>
      </w:r>
    </w:p>
    <w:p>
      <w:pPr>
        <w:pStyle w:val="ListParagraph"/>
        <w:numPr>
          <w:ilvl w:val="0"/>
          <w:numId w:val="2"/>
        </w:numPr>
        <w:spacing w:after="6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Explicit safety flags for radiation and IV contrast.</w:t>
      </w:r>
    </w:p>
    <w:p>
      <w:pPr>
        <w:pStyle w:val="ListParagraph"/>
        <w:numPr>
          <w:ilvl w:val="0"/>
          <w:numId w:val="2"/>
        </w:numPr>
        <w:spacing w:after="6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Retrieval trace: chunk_id, score, normalised_score for every retrieved chunk above zero.</w:t>
      </w:r>
    </w:p>
    <w:p>
      <w:pPr>
        <w:pStyle w:val="ListParagraph"/>
        <w:numPr>
          <w:ilvl w:val="0"/>
          <w:numId w:val="2"/>
        </w:numPr>
        <w:spacing w:after="6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Rejected recommendations (those whose citation_id failed validation), surfaced separately for audit.</w:t>
      </w:r>
    </w:p>
    <w:p>
      <w:pPr>
        <w:pStyle w:val="ListParagraph"/>
        <w:numPr>
          <w:ilvl w:val="0"/>
          <w:numId w:val="2"/>
        </w:numPr>
        <w:spacing w:after="6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Generator mode (stub or claude) and a high/medium/low confidence label.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This surface is rich, deliberately. The design question is which subset to render to the clinician under what conditions, and how those choices affect trust calibration.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IV. Proposed Study Design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A. Within-subjects, three response conditions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We propose a within-subjects study with three rendering conditions:</w:t>
      </w:r>
    </w:p>
    <w:p>
      <w:pPr>
        <w:pStyle w:val="ListParagraph"/>
        <w:numPr>
          <w:ilvl w:val="0"/>
          <w:numId w:val="3"/>
        </w:numPr>
        <w:spacing w:after="6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Condition A (no rationale): The system shows only the top recommendation and its appropriateness rating, with no citation, no matched_scenario, no retrieval trace.</w:t>
      </w:r>
    </w:p>
    <w:p>
      <w:pPr>
        <w:pStyle w:val="ListParagraph"/>
        <w:numPr>
          <w:ilvl w:val="0"/>
          <w:numId w:val="3"/>
        </w:numPr>
        <w:spacing w:after="6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Condition B (citation-only): Adds the citation_id and a one-click-expand of the source chunk; no other retrieval trace.</w:t>
      </w:r>
    </w:p>
    <w:p>
      <w:pPr>
        <w:pStyle w:val="ListParagraph"/>
        <w:numPr>
          <w:ilvl w:val="0"/>
          <w:numId w:val="3"/>
        </w:numPr>
        <w:spacing w:after="6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Condition C (full audit panel): Adds the matched_scenario, retrieval trace, rejected recommendations, and confidence label.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B. Stimuli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30 consult scenarios drawn from a paired distribution: 20 in-domain scenarios (8 from the canonical eval set plus 12 paraphrased variants) and 10 deliberately-chosen edge cases (the negation case from our eval, four off-topic abstention probes, and five underspecified queries that route to a defensible-but-not-unique variant). The pairing structure lets us measure trust calibration on cases where the system is correct vs. wrong vs. abstaining.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C. Measures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Primary outcomes: (i) task accuracy — does the clinician's final imaging recommendation match the ACR-AC ground-truth? (ii) time-to-decision; (iii) a Trust Calibration Scale (Lee-See style) administered after each scenario. Secondary outcomes: how often the clinician clicks through to the cited chunk, how often they review the matched_scenario field, and post-hoc qualitative comments.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D. Power and analysis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power analysis based on a 0.6-effect-size detection on the trust-calibration scale gives n ≈ 30 radiologists for 80% power at α = 0.05, with mixed-effects modelling to handle the within-subjects + within-scenario crossed structure. Pre-registration on OSF and IRB approval are presupposed.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V. Architectural Baselines and Paraphrase-Robustness Probe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study design rests on a working system. We summarise the relevant baselines, including a paraphrase-robustness probe that motivates the choice of stimuli.</w:t>
      </w:r>
    </w:p>
    <w:tbl>
      <w:tblPr>
        <w:tblW w:type="dxa" w:w="7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080"/>
        <w:gridCol w:w="2880"/>
      </w:tblGrid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5E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Metric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5E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Value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5E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Topic accuracy (canonical, n=8)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100.0%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misroutes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Variant accuracy (canonical, n=8)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87.5%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negation miss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Variant accuracy (paraphrase, n=8)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75.0%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two misses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Citation fidelity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100.0%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invariant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Off-topic abstention rate (n=7)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85.7%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one near-thresh.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Pipeline overhead (stub, mean)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0.04 ms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per query</w:t>
            </w:r>
          </w:p>
        </w:tc>
      </w:tr>
    </w:tbl>
    <w:p>
      <w:pPr>
        <w:spacing w:after="160" w:before="40" w:line="220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TABLE I: Architectural baselines. Variant accuracy degrades from 87.5% (canonical wording) to 75.0% (paraphrased) — the kind of failure mode the study design is built to surface to the clinician.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VI. Discussion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study has an explicit gap between paper and outcome. We claim only that the system surface described in §III is rich enough to support trust-calibration research, that the design in §IV is well-powered to detect plausible effect sizes, and that the empirical baselines in §V justify the choice of stimuli. Limitations: the seed knowledge base is synthetic and a production deployment requires a properly licensed ACR-AC ingestion; the proposed n is single-centre; the study cannot characterise long-tail cases that would only be visible in production traffic.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VII. Conclusion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We presented a human-AI interaction study design for a citation-verified clinical RAG system. The design treats the system surface (matched_scenario, citation_id, retrieval trace, rejected recommendations) as the variable; trust calibration as the outcome; and 30 ACR-AC consult scenarios as the stimulus set. Architectural baselines and a paraphrase-robustness probe support the choice of design.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References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[1] R. Bhayana, S. Krishna, and R. R. Bleakney, "Performance of ChatGPT on a Radiology Board-Style Examination: Insights into Current Strengths and Limitations," Radiology, vol. 307, no. 5, e230582, 2023.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[2] Q. Lyu, J. Tan, M. E. Zapadka et al., "Translating Radiology Reports into Plain Language Using ChatGPT and GPT-4 with Prompt Learning," Visual Computing for Industry, Biomedicine, and Art, vol. 6, art. 9, 2023.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[3] A. Rao, J. Kim, M. Kamineni, M. Pang, W. Lie, and M. D. Succi, "Evaluating ChatGPT as an Adjunct for Radiologic Decision-Making," J. Am. Coll. Radiol., 2023. doi:10.1016/j.jacr.2023.05.003.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[4] R. Bhayana, "Chatbots and Large Language Models in Radiology: A Practical Primer for Clinical and Research Applications," Radiology, vol. 310, no. 1, e232756, 2024.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[5] E. Goh, R. Gallo, J. Hom et al., "Large Language Model Influence on Diagnostic Reasoning: A Randomized Clinical Trial," JAMA Network Open, vol. 7, no. 10, e2440969, 2024.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[6] D. A. Kurth, B. K. Karmazyn, C. A. Waldrip, M. Chatfield, and M. E. Lockhart, "ACR Appropriateness Criteria® Methodology," J. Am. Coll. Radiol., vol. 18, no. 11S, pp. S240–S250, 2021.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[7] C. L. Sistrom, "In Support of the ACR Appropriateness Criteria," J. Am. Coll. Radiol., vol. 5, no. 5, pp. 630–635, 2008.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[8] L. C. Adams, D. Truhn, F. Busch, A. Kader, S. M. Niehues, M. R. Makowski, and K. K. Bressem, "Leveraging GPT-4 for Post Hoc Transformation of Free-Text Radiology Reports into Structured Reporting: A Multilingual Feasibility Study," Radiology, vol. 307, no. 4, e230725, 2023.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[9] B. Bohnet, V. Q. Tran, P. Verga et al., "Attributed Question Answering: Evaluation and Modeling for Attributed Large Language Models," arXiv:2212.08037, 2022.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[10] H. Rashkin, V. Nikolaev, M. Lamm, L. Aroyo, M. Collins, D. Das, S. Petrov, G. S. Tomar, I. Turc, and D. Reitter, "Measuring Attribution in Natural Language Generation Models," Computational Linguistics, vol. 49, no. 4, pp. 777–840, 2023.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[11] L. Gao, Z. Dai, P. Pasupat et al., "RARR: Researching and Revising What Language Models Say, Using Language Models," in Proc. ACL, 2023, pp. 16477–16508.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[12] M. Mitchell, S. Wu, A. Zaldivar, P. Barnes, L. Vasserman, B. Hutchinson, E. Spitzer, I. D. Raji, and T. Gebru, "Model Cards for Model Reporting," in Proc. ACM Conf. on Fairness, Accountability, and Transparency (FAT*/FAccT), 2019, pp. 220–229.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[13] T. Gebru, J. Morgenstern, B. Vecchione, J. W. Vaughan, H. Wallach, H. Daumé III, and K. Crawford, "Datasheets for Datasets," Communications of the ACM, vol. 64, no. 12, pp. 86–92, 2021.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[14] E. M. Bender and B. Friedman, "Data Statements for Natural Language Processing: Toward Mitigating System Bias and Enabling Better Science," Trans. Assoc. Comput. Linguistics, vol. 6, pp. 587–604, 2018.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[15] P. Lewis, E. Perez, A. Piktus, F. Petroni, V. Karpukhin, N. Goyal, H. Küttler, M. Lewis, W. Yih, T. Rocktäschel, S. Riedel, and D. Kiela, "Retrieval-Augmented Generation for Knowledge-Intensive NLP Tasks," in Adv. Neural Inf. Process. Syst. (NeurIPS), vol. 33, 2020, pp. 9459–9474. arXiv:2005.11401.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[16] S. Robertson and H. Zaragoza, "The Probabilistic Relevance Framework: BM25 and Beyond," Foundations and Trends in Information Retrieval, vol. 3, no. 4, pp. 333–389, 2009. doi:10.1561/1500000019.</w:t>
      </w:r>
    </w:p>
    <w:sectPr>
      <w:type w:val="continuous"/>
      <w:pgSz w:w="12240" w:h="15840" w:orient="portrait"/>
      <w:pgMar w:top="1080" w:right="900" w:bottom="1440" w:left="900" w:header="708" w:footer="708" w:gutter="0"/>
      <w:pgNumType/>
      <w:cols w:space="360" w:num="2" w:sep="false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IEEETitle">
    <w:name w:val="IEEE Title"/>
    <w:basedOn w:val="Normal"/>
    <w:next w:val="Normal"/>
    <w:qFormat/>
    <w:pPr>
      <w:spacing w:after="240" w:before="0" w:line="280"/>
      <w:jc w:val="center"/>
    </w:pPr>
    <w:rPr>
      <w:rFonts w:ascii="Times New Roman" w:cs="Times New Roman" w:eastAsia="Times New Roman" w:hAnsi="Times New Roman"/>
      <w:b/>
      <w:bCs/>
      <w:sz w:val="48"/>
      <w:szCs w:val="48"/>
    </w:rPr>
  </w:style>
  <w:style w:type="paragraph" w:styleId="IEEEAuthor">
    <w:name w:val="IEEE Author"/>
    <w:basedOn w:val="Normal"/>
    <w:next w:val="Normal"/>
    <w:qFormat/>
    <w:pPr>
      <w:spacing w:after="80" w:before="80" w:line="240"/>
      <w:jc w:val="center"/>
    </w:pPr>
    <w:rPr>
      <w:rFonts w:ascii="Times New Roman" w:cs="Times New Roman" w:eastAsia="Times New Roman" w:hAnsi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00" w:before="200" w:line="240"/>
      <w:jc w:val="center"/>
      <w:outlineLvl w:val="0"/>
    </w:pPr>
    <w:rPr>
      <w:rFonts w:ascii="Times New Roman" w:cs="Times New Roman" w:eastAsia="Times New Roman" w:hAnsi="Times New Roman"/>
      <w:b/>
      <w:bCs/>
      <w:smallCaps/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60" w:before="140" w:line="240"/>
      <w:outlineLvl w:val="1"/>
    </w:pPr>
    <w:rPr>
      <w:rFonts w:ascii="Times New Roman" w:cs="Times New Roman" w:eastAsia="Times New Roman" w:hAnsi="Times New Roman"/>
      <w:i/>
      <w:iCs/>
      <w:sz w:val="20"/>
      <w:szCs w:val="20"/>
    </w:rPr>
  </w:style>
  <w:style w:type="paragraph" w:styleId="IEEECaption">
    <w:name w:val="IEEE Caption"/>
    <w:basedOn w:val="Normal"/>
    <w:next w:val="Normal"/>
    <w:qFormat/>
    <w:pPr>
      <w:spacing w:after="160" w:before="60" w:line="220"/>
      <w:jc w:val="center"/>
    </w:pPr>
    <w:rPr>
      <w:rFonts w:ascii="Times New Roman" w:cs="Times New Roman" w:eastAsia="Times New Roman" w:hAnsi="Times New Roman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2026-04-29T02:56:34.035Z</dcterms:created>
  <dcterms:modified xsi:type="dcterms:W3CDTF">2026-04-29T02:56:34.042Z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