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How to Build a Citation-Faithful Clinical RAG System: A Step-by-Step Tutorial Anchored to the ACR Appropriateness Criteria</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Many clinical informatics teams want to build a retrieval-augmented LLM system grounded in a clinical guideline corpus, and most of them face the same starting-point problem: the published research is either too high-level to follow or too tied to a specific dataset to generalise. This tutorial paper walks through the construction of a citation-faithful clinical RAG system in seven steps, anchored to the ACR Appropriateness Criteria as a worked example. The seven steps are: (1) schema-faithful corpus modelling; (2) variant-level chunking with keyword amplification; (3) BM25 retrieval with deterministic configuration; (4) absolute-score abstention gating; (5) in-prompt grounding contract for the LLM generator; (6) deterministic post-hoc citation validation; (7) typed schema and observability. For each step we present the design rationale, a code-level sketch, the failure mode the step addresses, and the empirical effect on a documented evaluation set. The reference implementation is ~1.5k lines of Python, achieves 100% topic accuracy and 100% citation fidelity on an eight-scenario harness, and is released alongside this tutorial. We argue that the seven-step recipe generalises to any guideline-grounded clinical RAG and should serve as the engineering baseline against which more elaborate architectures justify their additional complexity.</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Tutorial, retrieval-augmented generation, clinical decision support, ACR Appropriateness Criteria, BM25, citation validation, abstention.</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A clinical informatics team starting a guideline-grounded RAG project today faces a documented [1], [2], [3] but undirected literature: many promising results, no canonical recipe. This tutorial fills the gap. The seven-step construction below is the recipe we have validated on the ACR Appropriateness Criteria; we believe it generalises, with substitution of the corpus, to NICE guidelines, the European Society of Radiology iGuide, antibiogram-driven antimicrobial selection, and any other panel-rated clinical corpus.</w:t>
      </w:r>
    </w:p>
    <w:p>
      <w:pPr>
        <w:spacing w:after="80" w:before="0" w:line="240"/>
        <w:ind w:firstLine="200"/>
        <w:jc w:val="both"/>
      </w:pPr>
      <w:r>
        <w:rPr>
          <w:rFonts w:ascii="Times New Roman" w:cs="Times New Roman" w:eastAsia="Times New Roman" w:hAnsi="Times New Roman"/>
          <w:sz w:val="20"/>
          <w:szCs w:val="20"/>
        </w:rPr>
        <w:t xml:space="preserve">We make two pedagogical choices throughout. First, every step is presented with both its design rationale and the failure mode it addresses, so that the reader can adapt the recipe rather than copy it verbatim. Second, every empirical claim is from a single shared eval harness on the running reference implementation, so the reader can re-derive every number with one command. Section II surveys the prerequisites. Sections III through IX walk the seven steps. Section X reports the headline outcomes. Section XI generalises beyond ACR-AC.</w:t>
      </w:r>
    </w:p>
    <w:p>
      <w:pPr>
        <w:spacing w:after="80" w:before="200" w:line="240"/>
        <w:jc w:val="center"/>
      </w:pPr>
      <w:r>
        <w:rPr>
          <w:rFonts w:ascii="Times New Roman" w:cs="Times New Roman" w:eastAsia="Times New Roman" w:hAnsi="Times New Roman"/>
          <w:b/>
          <w:bCs/>
          <w:smallCaps/>
          <w:sz w:val="20"/>
          <w:szCs w:val="20"/>
        </w:rPr>
        <w:t xml:space="preserve">II. Prerequisites</w:t>
      </w:r>
    </w:p>
    <w:p>
      <w:pPr>
        <w:spacing w:after="80" w:before="0" w:line="240"/>
        <w:ind w:firstLine="200"/>
        <w:jc w:val="both"/>
      </w:pPr>
      <w:r>
        <w:rPr>
          <w:rFonts w:ascii="Times New Roman" w:cs="Times New Roman" w:eastAsia="Times New Roman" w:hAnsi="Times New Roman"/>
          <w:sz w:val="20"/>
          <w:szCs w:val="20"/>
        </w:rPr>
        <w:t xml:space="preserve">The reader is assumed familiar with: the RAG paradigm [4], [5], BM25 ranking [6], structured-JSON LLM output [7], and the basic ACR-AC structure [8], [9]. No prior experience with clinical NLP is required.</w:t>
      </w:r>
    </w:p>
    <w:p>
      <w:pPr>
        <w:spacing w:after="80" w:before="200" w:line="240"/>
        <w:jc w:val="center"/>
      </w:pPr>
      <w:r>
        <w:rPr>
          <w:rFonts w:ascii="Times New Roman" w:cs="Times New Roman" w:eastAsia="Times New Roman" w:hAnsi="Times New Roman"/>
          <w:b/>
          <w:bCs/>
          <w:smallCaps/>
          <w:sz w:val="20"/>
          <w:szCs w:val="20"/>
        </w:rPr>
        <w:t xml:space="preserve">III. Step 1 — Schema-Faithful Corpus Modelling</w:t>
      </w:r>
    </w:p>
    <w:p>
      <w:pPr>
        <w:spacing w:after="80" w:before="0" w:line="240"/>
        <w:ind w:firstLine="200"/>
        <w:jc w:val="both"/>
      </w:pPr>
      <w:r>
        <w:rPr>
          <w:rFonts w:ascii="Times New Roman" w:cs="Times New Roman" w:eastAsia="Times New Roman" w:hAnsi="Times New Roman"/>
          <w:sz w:val="20"/>
          <w:szCs w:val="20"/>
        </w:rPr>
        <w:t xml:space="preserve">Define a Pydantic schema that mirrors the source corpus exactly. For ACR-AC: Topic { topic_id, topic_name, citation, keywords[], variants[] }; Variant { variant_id, scenario, scenario_keywords[], procedures[] }; Procedure { procedure, appropriateness ∈ [1,9], category, rrl, uses_contrast, comment }. Rationale: the LLM is allowed to reformat — never invent — so the schema must be expressive enough to cover every legitimate output. Failure mode addressed: invented procedures (force them to come from a Procedure object).</w:t>
      </w:r>
    </w:p>
    <w:p>
      <w:pPr>
        <w:spacing w:after="80" w:before="200" w:line="240"/>
        <w:jc w:val="center"/>
      </w:pPr>
      <w:r>
        <w:rPr>
          <w:rFonts w:ascii="Times New Roman" w:cs="Times New Roman" w:eastAsia="Times New Roman" w:hAnsi="Times New Roman"/>
          <w:b/>
          <w:bCs/>
          <w:smallCaps/>
          <w:sz w:val="20"/>
          <w:szCs w:val="20"/>
        </w:rPr>
        <w:t xml:space="preserve">IV. Step 2 — Variant-Level Chunking with Keyword Amplification</w:t>
      </w:r>
    </w:p>
    <w:p>
      <w:pPr>
        <w:spacing w:after="80" w:before="0" w:line="240"/>
        <w:ind w:firstLine="200"/>
        <w:jc w:val="both"/>
      </w:pPr>
      <w:r>
        <w:rPr>
          <w:rFonts w:ascii="Times New Roman" w:cs="Times New Roman" w:eastAsia="Times New Roman" w:hAnsi="Times New Roman"/>
          <w:sz w:val="20"/>
          <w:szCs w:val="20"/>
        </w:rPr>
        <w:t xml:space="preserve">Chunk at the variant level, not the topic level. Each chunk is the smallest self-contained, citable unit. Flatten variant content into a passage that includes the topic name, scenario string, topic-level keywords, variant-level keywords (repeated 3×), and a compact procedure rendering. Rationale: the unit of meaningful retrieval is the variant; the citation unit is the variant; mismatch between chunking and citation creates orphaned recommendations. The 3× keyword amplification is defensive against generic-variant dominance in BM25 scoring; on our seed benchmark its empirical effect is null because population-specific tokens already win, but it is cheap insurance for less-specific queries. Failure mode addressed: orphaned recommendations and generic-variant dominance.</w:t>
      </w:r>
    </w:p>
    <w:p>
      <w:pPr>
        <w:spacing w:after="80" w:before="200" w:line="240"/>
        <w:jc w:val="center"/>
      </w:pPr>
      <w:r>
        <w:rPr>
          <w:rFonts w:ascii="Times New Roman" w:cs="Times New Roman" w:eastAsia="Times New Roman" w:hAnsi="Times New Roman"/>
          <w:b/>
          <w:bCs/>
          <w:smallCaps/>
          <w:sz w:val="20"/>
          <w:szCs w:val="20"/>
        </w:rPr>
        <w:t xml:space="preserve">V. Step 3 — BM25 Retrieval with Deterministic Configuration</w:t>
      </w:r>
    </w:p>
    <w:p>
      <w:pPr>
        <w:spacing w:after="80" w:before="0" w:line="240"/>
        <w:ind w:firstLine="200"/>
        <w:jc w:val="both"/>
      </w:pPr>
      <w:r>
        <w:rPr>
          <w:rFonts w:ascii="Times New Roman" w:cs="Times New Roman" w:eastAsia="Times New Roman" w:hAnsi="Times New Roman"/>
          <w:sz w:val="20"/>
          <w:szCs w:val="20"/>
        </w:rPr>
        <w:t xml:space="preserve">Use BM25Okapi [6], [10] from rank-bm25 with default k1 and b. Tokenise lowercased alphanumeric tokens via a single regex. Bound top-k at 5; the effective top-k is determined by how many variants have non-negligible non-zero scores. Rationale: at panel-corpus scale (a few thousand variants), BM25 is fast, deterministic, free of GPU dependency, and has a transparent score that maps to the abstention gate. Failure mode addressed: opaque retrieval (a dense retriever's score is a cosine similarity that requires a learned model to interpret).</w:t>
      </w:r>
    </w:p>
    <w:p>
      <w:pPr>
        <w:spacing w:after="80" w:before="200" w:line="240"/>
        <w:jc w:val="center"/>
      </w:pPr>
      <w:r>
        <w:rPr>
          <w:rFonts w:ascii="Times New Roman" w:cs="Times New Roman" w:eastAsia="Times New Roman" w:hAnsi="Times New Roman"/>
          <w:b/>
          <w:bCs/>
          <w:smallCaps/>
          <w:sz w:val="20"/>
          <w:szCs w:val="20"/>
        </w:rPr>
        <w:t xml:space="preserve">VI. Step 4 — Absolute-Score Abstention Gating</w:t>
      </w:r>
    </w:p>
    <w:p>
      <w:pPr>
        <w:spacing w:after="80" w:before="0" w:line="240"/>
        <w:ind w:firstLine="200"/>
        <w:jc w:val="both"/>
      </w:pPr>
      <w:r>
        <w:rPr>
          <w:rFonts w:ascii="Times New Roman" w:cs="Times New Roman" w:eastAsia="Times New Roman" w:hAnsi="Times New Roman"/>
          <w:sz w:val="20"/>
          <w:szCs w:val="20"/>
        </w:rPr>
        <w:t xml:space="preserve">Apply an absolute-score floor (top BM25 ≥ τ, τ = 2.0 in our seed) at retrieval time. Below the floor, the retriever returns empty and the pipeline surfaces an INSUFFICIENT_EVIDENCE response. Rationale: most consumer LLM products do not have an "I don't know" mode; they degrade gracefully to a confident-sounding answer regardless of input. Off-topic queries score below τ; legitimate medical queries score well above. The selective-prediction literature [11], [12] shows this simple form is competitive with learned calibrators at small corpus scales. Failure mode addressed: confident answers to off-topic queries.</w:t>
      </w:r>
    </w:p>
    <w:p>
      <w:pPr>
        <w:spacing w:after="80" w:before="200" w:line="240"/>
        <w:jc w:val="center"/>
      </w:pPr>
      <w:r>
        <w:rPr>
          <w:rFonts w:ascii="Times New Roman" w:cs="Times New Roman" w:eastAsia="Times New Roman" w:hAnsi="Times New Roman"/>
          <w:b/>
          <w:bCs/>
          <w:smallCaps/>
          <w:sz w:val="20"/>
          <w:szCs w:val="20"/>
        </w:rPr>
        <w:t xml:space="preserve">VII. Step 5 — In-Prompt Grounding Contract</w:t>
      </w:r>
    </w:p>
    <w:p>
      <w:pPr>
        <w:spacing w:after="80" w:before="0" w:line="240"/>
        <w:ind w:firstLine="200"/>
        <w:jc w:val="both"/>
      </w:pPr>
      <w:r>
        <w:rPr>
          <w:rFonts w:ascii="Times New Roman" w:cs="Times New Roman" w:eastAsia="Times New Roman" w:hAnsi="Times New Roman"/>
          <w:sz w:val="20"/>
          <w:szCs w:val="20"/>
        </w:rPr>
        <w:t xml:space="preserve">Constrain the LLM with a six-rule system prompt: (1) ground-only-on-context; (2) cite a real chunk_id; (3) abstain on mismatch; (4) JSON-only output; (5) surface RRL/contrast; (6) sort descending by appropriateness. The user prompt prepends each retrieved chunk (with chunk_id and citation tags) to the clinical scenario and the JSON schema. Rationale: the contract changes the distribution of generated outputs toward citation-bearing recommendations; without it the LLM may not even attempt to attach citation_ids [13], [14]. Failure mode addressed: outputs the validator cannot accept.</w:t>
      </w:r>
    </w:p>
    <w:p>
      <w:pPr>
        <w:spacing w:after="80" w:before="200" w:line="240"/>
        <w:jc w:val="center"/>
      </w:pPr>
      <w:r>
        <w:rPr>
          <w:rFonts w:ascii="Times New Roman" w:cs="Times New Roman" w:eastAsia="Times New Roman" w:hAnsi="Times New Roman"/>
          <w:b/>
          <w:bCs/>
          <w:smallCaps/>
          <w:sz w:val="20"/>
          <w:szCs w:val="20"/>
        </w:rPr>
        <w:t xml:space="preserve">VIII. Step 6 — Deterministic Post-Hoc Citation Validation</w:t>
      </w:r>
    </w:p>
    <w:p>
      <w:pPr>
        <w:spacing w:after="80" w:before="0" w:line="240"/>
        <w:ind w:firstLine="200"/>
        <w:jc w:val="both"/>
      </w:pPr>
      <w:r>
        <w:rPr>
          <w:rFonts w:ascii="Times New Roman" w:cs="Times New Roman" w:eastAsia="Times New Roman" w:hAnsi="Times New Roman"/>
          <w:sz w:val="20"/>
          <w:szCs w:val="20"/>
        </w:rPr>
        <w:t xml:space="preserve">Iterate over each generated recommendation; look up its citation_id in the set of valid retrieved chunk IDs; drop the recommendation if the citation does not validate. Surface rejected recommendations separately for audit. Rationale: the in-prompt contract is statistical; the validator is invariant. The two layers fail in different ways and together produce a hard guarantee that no surfaced recommendation can carry a hallucinated citation. The pattern is a minimal instantiation of post-hoc revision [15] restricted to the citation-existence axis. Failure mode addressed: fabricated citations.</w:t>
      </w:r>
    </w:p>
    <w:p>
      <w:pPr>
        <w:spacing w:after="80" w:before="200" w:line="240"/>
        <w:jc w:val="center"/>
      </w:pPr>
      <w:r>
        <w:rPr>
          <w:rFonts w:ascii="Times New Roman" w:cs="Times New Roman" w:eastAsia="Times New Roman" w:hAnsi="Times New Roman"/>
          <w:b/>
          <w:bCs/>
          <w:smallCaps/>
          <w:sz w:val="20"/>
          <w:szCs w:val="20"/>
        </w:rPr>
        <w:t xml:space="preserve">IX. Step 7 — Typed Schema and Observability</w:t>
      </w:r>
    </w:p>
    <w:p>
      <w:pPr>
        <w:spacing w:after="80" w:before="0" w:line="240"/>
        <w:ind w:firstLine="200"/>
        <w:jc w:val="both"/>
      </w:pPr>
      <w:r>
        <w:rPr>
          <w:rFonts w:ascii="Times New Roman" w:cs="Times New Roman" w:eastAsia="Times New Roman" w:hAnsi="Times New Roman"/>
          <w:sz w:val="20"/>
          <w:szCs w:val="20"/>
        </w:rPr>
        <w:t xml:space="preserve">Wrap the pipeline in a typed API surface. Every response should expose: matched topic, matched variant, ranked recommendations with citation_ids, safety flags (RRL, IV contrast), retrieval trace (chunk_id, score, normalised_score), generator mode, and rejected recommendations. The /health endpoint returns KB chunk count and active mode. Rationale: the response is the audit artifact; if a deployment review committee can reconstruct the decision from a single response, the system clears review faster. Documentation artifacts (model card [16], datasheet [17], data statement [18]) accompany the release. Failure mode addressed: inscrutable deployment.</w:t>
      </w:r>
    </w:p>
    <w:p>
      <w:pPr>
        <w:spacing w:after="80" w:before="200" w:line="240"/>
        <w:jc w:val="center"/>
      </w:pPr>
      <w:r>
        <w:rPr>
          <w:rFonts w:ascii="Times New Roman" w:cs="Times New Roman" w:eastAsia="Times New Roman" w:hAnsi="Times New Roman"/>
          <w:b/>
          <w:bCs/>
          <w:smallCaps/>
          <w:sz w:val="20"/>
          <w:szCs w:val="20"/>
        </w:rPr>
        <w:t xml:space="preserve">X. Headline Outcomes on the Reference Implementation</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4080"/>
        <w:gridCol w:w="1320"/>
        <w:gridCol w:w="720"/>
        <w:gridCol w:w="1320"/>
      </w:tblGrid>
      <w:tr>
        <w:tc>
          <w:tcPr>
            <w:tcW w:type="dxa" w:w="4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Metric</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Score</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Notes</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Topic accuracy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8/8</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Variant accuracy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7/8</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negation miss</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Top-procedure accuracy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7/8</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same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Citation fidelity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invariant</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Off-topic abstention</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85.7%</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6/7</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one near-thresh.</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Pipeline overhead (stub)</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0.04 ms</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 q</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mean</w:t>
            </w:r>
          </w:p>
        </w:tc>
      </w:tr>
    </w:tbl>
    <w:p>
      <w:pPr>
        <w:spacing w:after="160" w:before="40" w:line="220"/>
        <w:jc w:val="center"/>
      </w:pPr>
      <w:r>
        <w:rPr>
          <w:rFonts w:ascii="Times New Roman" w:cs="Times New Roman" w:eastAsia="Times New Roman" w:hAnsi="Times New Roman"/>
          <w:i/>
          <w:iCs/>
          <w:sz w:val="16"/>
          <w:szCs w:val="16"/>
        </w:rPr>
        <w:t xml:space="preserve">TABLE I: Reference-implementation outcomes after the seven steps. The single variant-level miss is a documented negation case that motivates a polarity-aware retriever extension.</w:t>
      </w:r>
    </w:p>
    <w:p>
      <w:pPr>
        <w:spacing w:after="80" w:before="200" w:line="240"/>
        <w:jc w:val="center"/>
      </w:pPr>
      <w:r>
        <w:rPr>
          <w:rFonts w:ascii="Times New Roman" w:cs="Times New Roman" w:eastAsia="Times New Roman" w:hAnsi="Times New Roman"/>
          <w:b/>
          <w:bCs/>
          <w:smallCaps/>
          <w:sz w:val="20"/>
          <w:szCs w:val="20"/>
        </w:rPr>
        <w:t xml:space="preserve">XI. Generalising Beyond ACR-AC</w:t>
      </w:r>
    </w:p>
    <w:p>
      <w:pPr>
        <w:spacing w:after="80" w:before="0" w:line="240"/>
        <w:ind w:firstLine="200"/>
        <w:jc w:val="both"/>
      </w:pPr>
      <w:r>
        <w:rPr>
          <w:rFonts w:ascii="Times New Roman" w:cs="Times New Roman" w:eastAsia="Times New Roman" w:hAnsi="Times New Roman"/>
          <w:sz w:val="20"/>
          <w:szCs w:val="20"/>
        </w:rPr>
        <w:t xml:space="preserve">The seven-step recipe generalises with three substitutions: (i) replace the schema with a faithful representation of the new corpus; (ii) replace the in-prompt contract's six rules with the corresponding domain-specific rules; (iii) replace the validator's set-membership check with whatever proves citation existence in the new corpus. The retrieval-side abstention gate, the typed response schema, the stub-mode fallback, and the observability scheme transfer unchanged. Worked candidates: NICE guidelines, the European Society of Radiology iGuide, antibiogram-driven antimicrobial CDS, and oncology-pathway documents. The recipe should be the default starting point against which more elaborate architectures justify their additional complexity.</w:t>
      </w:r>
    </w:p>
    <w:p>
      <w:pPr>
        <w:spacing w:after="80" w:before="200" w:line="240"/>
        <w:jc w:val="center"/>
      </w:pPr>
      <w:r>
        <w:rPr>
          <w:rFonts w:ascii="Times New Roman" w:cs="Times New Roman" w:eastAsia="Times New Roman" w:hAnsi="Times New Roman"/>
          <w:b/>
          <w:bCs/>
          <w:smallCaps/>
          <w:sz w:val="20"/>
          <w:szCs w:val="20"/>
        </w:rPr>
        <w:t xml:space="preserve">XII. Conclusion</w:t>
      </w:r>
    </w:p>
    <w:p>
      <w:pPr>
        <w:spacing w:after="80" w:before="0" w:line="240"/>
        <w:ind w:firstLine="200"/>
        <w:jc w:val="both"/>
      </w:pPr>
      <w:r>
        <w:rPr>
          <w:rFonts w:ascii="Times New Roman" w:cs="Times New Roman" w:eastAsia="Times New Roman" w:hAnsi="Times New Roman"/>
          <w:sz w:val="20"/>
          <w:szCs w:val="20"/>
        </w:rPr>
        <w:t xml:space="preserve">We presented a seven-step tutorial for building a citation-faithful clinical RAG system. The seven steps are sufficient to reach 100% citation fidelity and 100% topic accuracy on an eight-scenario harness; the reference implementation is small (~1.5k lines of Python) and reproducible end-to-end. We commend the recipe as the engineering baseline for guideline-grounded clinical RAG.</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R. Bhayana, "Chatbots and Large Language Models in Radiology: A Practical Primer for Clinical and Research Applications," Radiology, vol. 310, no. 1, e232756, 2024.</w:t>
      </w:r>
    </w:p>
    <w:p>
      <w:pPr>
        <w:spacing w:after="50" w:before="0" w:line="200"/>
        <w:ind w:left="240" w:hanging="240"/>
        <w:jc w:val="both"/>
      </w:pPr>
      <w:r>
        <w:rPr>
          <w:rFonts w:ascii="Times New Roman" w:cs="Times New Roman" w:eastAsia="Times New Roman" w:hAnsi="Times New Roman"/>
          <w:sz w:val="16"/>
          <w:szCs w:val="16"/>
        </w:rPr>
        <w:t xml:space="preserve">[2] E. Goh, R. Gallo, J. Hom et al., "Large Language Model Influence on Diagnostic Reasoning: A Randomized Clinical Trial," JAMA Network Open, vol. 7, no. 10, e2440969, 2024.</w:t>
      </w:r>
    </w:p>
    <w:p>
      <w:pPr>
        <w:spacing w:after="50" w:before="0" w:line="200"/>
        <w:ind w:left="240" w:hanging="240"/>
        <w:jc w:val="both"/>
      </w:pPr>
      <w:r>
        <w:rPr>
          <w:rFonts w:ascii="Times New Roman" w:cs="Times New Roman" w:eastAsia="Times New Roman" w:hAnsi="Times New Roman"/>
          <w:sz w:val="16"/>
          <w:szCs w:val="16"/>
        </w:rPr>
        <w:t xml:space="preserve">[3] Q. Lyu, J. Tan, M. E. Zapadka et al., "Translating Radiology Reports into Plain Language Using ChatGPT and GPT-4 with Prompt Learning," Visual Computing for Industry, Biomedicine, and Art, vol. 6, art. 9, 2023.</w:t>
      </w:r>
    </w:p>
    <w:p>
      <w:pPr>
        <w:spacing w:after="50" w:before="0" w:line="200"/>
        <w:ind w:left="240" w:hanging="240"/>
        <w:jc w:val="both"/>
      </w:pPr>
      <w:r>
        <w:rPr>
          <w:rFonts w:ascii="Times New Roman" w:cs="Times New Roman" w:eastAsia="Times New Roman" w:hAnsi="Times New Roman"/>
          <w:sz w:val="16"/>
          <w:szCs w:val="16"/>
        </w:rPr>
        <w:t xml:space="preserve">[4]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50" w:before="0" w:line="200"/>
        <w:ind w:left="240" w:hanging="240"/>
        <w:jc w:val="both"/>
      </w:pPr>
      <w:r>
        <w:rPr>
          <w:rFonts w:ascii="Times New Roman" w:cs="Times New Roman" w:eastAsia="Times New Roman" w:hAnsi="Times New Roman"/>
          <w:sz w:val="16"/>
          <w:szCs w:val="16"/>
        </w:rPr>
        <w:t xml:space="preserve">[5] Y. Gao, Y. Xiong, X. Gao, K. Jia, J. Pan, Y. Bi, Y. Dai, J. Sun, M. Wang, and H. Wang, "Retrieval-Augmented Generation for Large Language Models: A Survey," arXiv:2312.10997, 2023.</w:t>
      </w:r>
    </w:p>
    <w:p>
      <w:pPr>
        <w:spacing w:after="50" w:before="0" w:line="200"/>
        <w:ind w:left="240" w:hanging="240"/>
        <w:jc w:val="both"/>
      </w:pPr>
      <w:r>
        <w:rPr>
          <w:rFonts w:ascii="Times New Roman" w:cs="Times New Roman" w:eastAsia="Times New Roman" w:hAnsi="Times New Roman"/>
          <w:sz w:val="16"/>
          <w:szCs w:val="16"/>
        </w:rPr>
        <w:t xml:space="preserve">[6] S. Robertson and H. Zaragoza, "The Probabilistic Relevance Framework: BM25 and Beyond," Foundations and Trends in Information Retrieval, vol. 3, no. 4, pp. 333–389, 2009. doi:10.1561/1500000019.</w:t>
      </w:r>
    </w:p>
    <w:p>
      <w:pPr>
        <w:spacing w:after="50" w:before="0" w:line="200"/>
        <w:ind w:left="240" w:hanging="240"/>
        <w:jc w:val="both"/>
      </w:pPr>
      <w:r>
        <w:rPr>
          <w:rFonts w:ascii="Times New Roman" w:cs="Times New Roman" w:eastAsia="Times New Roman" w:hAnsi="Times New Roman"/>
          <w:sz w:val="16"/>
          <w:szCs w:val="16"/>
        </w:rPr>
        <w:t xml:space="preserve">[7] L. C. Adams, D. Truhn, F. Busch, A. Kader, S. M. Niehues, M. R. Makowski, and K. K. Bressem, "Leveraging GPT-4 for Post Hoc Transformation of Free-Text Radiology Reports into Structured Reporting: A Multilingual Feasibility Study," Radiology, vol. 307, no. 4, e230725, 2023.</w:t>
      </w:r>
    </w:p>
    <w:p>
      <w:pPr>
        <w:spacing w:after="50" w:before="0" w:line="200"/>
        <w:ind w:left="240" w:hanging="240"/>
        <w:jc w:val="both"/>
      </w:pPr>
      <w:r>
        <w:rPr>
          <w:rFonts w:ascii="Times New Roman" w:cs="Times New Roman" w:eastAsia="Times New Roman" w:hAnsi="Times New Roman"/>
          <w:sz w:val="16"/>
          <w:szCs w:val="16"/>
        </w:rPr>
        <w:t xml:space="preserve">[8] D. A. Kurth, B. K. Karmazyn, C. A. Waldrip, M. Chatfield, and M. E. Lockhart, "ACR Appropriateness Criteria® Methodology," J. Am. Coll. Radiol., vol. 18, no. 11S, pp. S240–S250, 2021.</w:t>
      </w:r>
    </w:p>
    <w:p>
      <w:pPr>
        <w:spacing w:after="50" w:before="0" w:line="200"/>
        <w:ind w:left="240" w:hanging="240"/>
        <w:jc w:val="both"/>
      </w:pPr>
      <w:r>
        <w:rPr>
          <w:rFonts w:ascii="Times New Roman" w:cs="Times New Roman" w:eastAsia="Times New Roman" w:hAnsi="Times New Roman"/>
          <w:sz w:val="16"/>
          <w:szCs w:val="16"/>
        </w:rPr>
        <w:t xml:space="preserve">[9] C. L. Sistrom, "In Support of the ACR Appropriateness Criteria," J. Am. Coll. Radiol., vol. 5, no. 5, pp. 630–635, 2008.</w:t>
      </w:r>
    </w:p>
    <w:p>
      <w:pPr>
        <w:spacing w:after="50" w:before="0" w:line="200"/>
        <w:ind w:left="240" w:hanging="240"/>
        <w:jc w:val="both"/>
      </w:pPr>
      <w:r>
        <w:rPr>
          <w:rFonts w:ascii="Times New Roman" w:cs="Times New Roman" w:eastAsia="Times New Roman" w:hAnsi="Times New Roman"/>
          <w:sz w:val="16"/>
          <w:szCs w:val="16"/>
        </w:rPr>
        <w:t xml:space="preserve">[10] A. Trotman, A. Puurula, and B. Burgess, "Improvements to BM25 and Language Models Examined," in Proc. Australasian Document Computing Symp. (ADCS), 2014, pp. 58–66.</w:t>
      </w:r>
    </w:p>
    <w:p>
      <w:pPr>
        <w:spacing w:after="50" w:before="0" w:line="200"/>
        <w:ind w:left="240" w:hanging="240"/>
        <w:jc w:val="both"/>
      </w:pPr>
      <w:r>
        <w:rPr>
          <w:rFonts w:ascii="Times New Roman" w:cs="Times New Roman" w:eastAsia="Times New Roman" w:hAnsi="Times New Roman"/>
          <w:sz w:val="16"/>
          <w:szCs w:val="16"/>
        </w:rPr>
        <w:t xml:space="preserve">[11] A. Kamath, R. Jia, and P. Liang, "Selective Question Answering under Domain Shift," in Proc. ACL, 2020, pp. 5684–5696.</w:t>
      </w:r>
    </w:p>
    <w:p>
      <w:pPr>
        <w:spacing w:after="50" w:before="0" w:line="200"/>
        <w:ind w:left="240" w:hanging="240"/>
        <w:jc w:val="both"/>
      </w:pPr>
      <w:r>
        <w:rPr>
          <w:rFonts w:ascii="Times New Roman" w:cs="Times New Roman" w:eastAsia="Times New Roman" w:hAnsi="Times New Roman"/>
          <w:sz w:val="16"/>
          <w:szCs w:val="16"/>
        </w:rPr>
        <w:t xml:space="preserve">[12] N. Varshney, S. Mishra, and C. Baral, "Investigating Selective Prediction Approaches Across Several Tasks in IID, OOD, and Adversarial Settings," in Findings of ACL, 2022, pp. 1995–2002.</w:t>
      </w:r>
    </w:p>
    <w:p>
      <w:pPr>
        <w:spacing w:after="50" w:before="0" w:line="200"/>
        <w:ind w:left="240" w:hanging="240"/>
        <w:jc w:val="both"/>
      </w:pPr>
      <w:r>
        <w:rPr>
          <w:rFonts w:ascii="Times New Roman" w:cs="Times New Roman" w:eastAsia="Times New Roman" w:hAnsi="Times New Roman"/>
          <w:sz w:val="16"/>
          <w:szCs w:val="16"/>
        </w:rPr>
        <w:t xml:space="preserve">[13] B. Bohnet, V. Q. Tran, P. Verga et al., "Attributed Question Answering: Evaluation and Modeling for Attributed Large Language Models," arXiv:2212.08037, 2022.</w:t>
      </w:r>
    </w:p>
    <w:p>
      <w:pPr>
        <w:spacing w:after="50" w:before="0" w:line="200"/>
        <w:ind w:left="240" w:hanging="240"/>
        <w:jc w:val="both"/>
      </w:pPr>
      <w:r>
        <w:rPr>
          <w:rFonts w:ascii="Times New Roman" w:cs="Times New Roman" w:eastAsia="Times New Roman" w:hAnsi="Times New Roman"/>
          <w:sz w:val="16"/>
          <w:szCs w:val="16"/>
        </w:rPr>
        <w:t xml:space="preserve">[14] H. Rashkin, V. Nikolaev, M. Lamm, L. Aroyo, M. Collins, D. Das, S. Petrov, G. S. Tomar, I. Turc, and D. Reitter, "Measuring Attribution in Natural Language Generation Models," Computational Linguistics, vol. 49, no. 4, pp. 777–840, 2023.</w:t>
      </w:r>
    </w:p>
    <w:p>
      <w:pPr>
        <w:spacing w:after="50" w:before="0" w:line="200"/>
        <w:ind w:left="240" w:hanging="240"/>
        <w:jc w:val="both"/>
      </w:pPr>
      <w:r>
        <w:rPr>
          <w:rFonts w:ascii="Times New Roman" w:cs="Times New Roman" w:eastAsia="Times New Roman" w:hAnsi="Times New Roman"/>
          <w:sz w:val="16"/>
          <w:szCs w:val="16"/>
        </w:rPr>
        <w:t xml:space="preserve">[15] L. Gao, Z. Dai, P. Pasupat et al., "RARR: Researching and Revising What Language Models Say, Using Language Models," in Proc. ACL, 2023, pp. 16477–16508.</w:t>
      </w:r>
    </w:p>
    <w:p>
      <w:pPr>
        <w:spacing w:after="50" w:before="0" w:line="200"/>
        <w:ind w:left="240" w:hanging="240"/>
        <w:jc w:val="both"/>
      </w:pPr>
      <w:r>
        <w:rPr>
          <w:rFonts w:ascii="Times New Roman" w:cs="Times New Roman" w:eastAsia="Times New Roman" w:hAnsi="Times New Roman"/>
          <w:sz w:val="16"/>
          <w:szCs w:val="16"/>
        </w:rPr>
        <w:t xml:space="preserve">[16] M. Mitchell, S. Wu, A. Zaldivar, P. Barnes, L. Vasserman, B. Hutchinson, E. Spitzer, I. D. Raji, and T. Gebru, "Model Cards for Model Reporting," in Proc. ACM Conf. on Fairness, Accountability, and Transparency (FAT*/FAccT), 2019, pp. 220–229.</w:t>
      </w:r>
    </w:p>
    <w:p>
      <w:pPr>
        <w:spacing w:after="50" w:before="0" w:line="200"/>
        <w:ind w:left="240" w:hanging="240"/>
        <w:jc w:val="both"/>
      </w:pPr>
      <w:r>
        <w:rPr>
          <w:rFonts w:ascii="Times New Roman" w:cs="Times New Roman" w:eastAsia="Times New Roman" w:hAnsi="Times New Roman"/>
          <w:sz w:val="16"/>
          <w:szCs w:val="16"/>
        </w:rPr>
        <w:t xml:space="preserve">[17] T. Gebru, J. Morgenstern, B. Vecchione, J. W. Vaughan, H. Wallach, H. Daumé III, and K. Crawford, "Datasheets for Datasets," Communications of the ACM, vol. 64, no. 12, pp. 86–92, 2021.</w:t>
      </w:r>
    </w:p>
    <w:p>
      <w:pPr>
        <w:spacing w:after="50" w:before="0" w:line="200"/>
        <w:ind w:left="240" w:hanging="240"/>
        <w:jc w:val="both"/>
      </w:pPr>
      <w:r>
        <w:rPr>
          <w:rFonts w:ascii="Times New Roman" w:cs="Times New Roman" w:eastAsia="Times New Roman" w:hAnsi="Times New Roman"/>
          <w:sz w:val="16"/>
          <w:szCs w:val="16"/>
        </w:rPr>
        <w:t xml:space="preserve">[18] E. M. Bender and B. Friedman, "Data Statements for Natural Language Processing: Toward Mitigating System Bias and Enabling Better Science," Trans. Assoc. Comput. Linguistics, vol. 6, pp. 587–604, 2018.</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2026-04-29T02:56:34.116Z</dcterms:created>
  <dcterms:modified xsi:type="dcterms:W3CDTF">2026-04-29T02:56:34.116Z</dcterms:modified>
</cp:coreProperties>
</file>

<file path=docProps/custom.xml><?xml version="1.0" encoding="utf-8"?>
<Properties xmlns="http://schemas.openxmlformats.org/officeDocument/2006/custom-properties" xmlns:vt="http://schemas.openxmlformats.org/officeDocument/2006/docPropsVTypes"/>
</file>