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80"/>
        <w:jc w:val="center"/>
      </w:pPr>
      <w:r>
        <w:rPr>
          <w:rFonts w:ascii="Times New Roman" w:cs="Times New Roman" w:eastAsia="Times New Roman" w:hAnsi="Times New Roman"/>
          <w:b/>
          <w:bCs/>
          <w:sz w:val="48"/>
          <w:szCs w:val="48"/>
        </w:rPr>
        <w:t xml:space="preserve">ACR Consult Assistant: A System Demonstration of Citation-Faithful Clinical RAG</w:t>
      </w:r>
    </w:p>
    <w:p>
      <w:pPr>
        <w:spacing w:after="60" w:before="0" w:line="240"/>
        <w:jc w:val="center"/>
      </w:pPr>
      <w:r>
        <w:rPr>
          <w:rFonts w:ascii="Times New Roman" w:cs="Times New Roman" w:eastAsia="Times New Roman" w:hAnsi="Times New Roman"/>
          <w:i w:val="false"/>
          <w:iCs w:val="false"/>
          <w:sz w:val="22"/>
          <w:szCs w:val="22"/>
        </w:rPr>
        <w:t xml:space="preserve">[Author Name]</w:t>
      </w:r>
    </w:p>
    <w:p>
      <w:pPr>
        <w:spacing w:after="60" w:before="0" w:line="240"/>
        <w:jc w:val="center"/>
      </w:pPr>
      <w:r>
        <w:rPr>
          <w:rFonts w:ascii="Times New Roman" w:cs="Times New Roman" w:eastAsia="Times New Roman" w:hAnsi="Times New Roman"/>
          <w:i w:val="false"/>
          <w:iCs w:val="false"/>
          <w:sz w:val="22"/>
          <w:szCs w:val="22"/>
        </w:rPr>
        <w:t xml:space="preserve">[Department / Affiliation]</w:t>
      </w:r>
    </w:p>
    <w:p>
      <w:pPr>
        <w:spacing w:after="60" w:before="0" w:line="240"/>
        <w:jc w:val="center"/>
      </w:pPr>
      <w:r>
        <w:rPr>
          <w:rFonts w:ascii="Times New Roman" w:cs="Times New Roman" w:eastAsia="Times New Roman" w:hAnsi="Times New Roman"/>
          <w:i w:val="false"/>
          <w:iCs w:val="false"/>
          <w:sz w:val="22"/>
          <w:szCs w:val="22"/>
        </w:rPr>
        <w:t xml:space="preserve">[City, Country]</w:t>
      </w:r>
    </w:p>
    <w:p>
      <w:pPr>
        <w:spacing w:after="60" w:before="0" w:line="240"/>
        <w:jc w:val="center"/>
      </w:pPr>
      <w:r>
        <w:rPr>
          <w:rFonts w:ascii="Times New Roman" w:cs="Times New Roman" w:eastAsia="Times New Roman" w:hAnsi="Times New Roman"/>
          <w:i w:val="false"/>
          <w:iCs w:val="false"/>
          <w:sz w:val="22"/>
          <w:szCs w:val="22"/>
        </w:rPr>
        <w:t xml:space="preserve">[email@domain]</w:t>
      </w:r>
    </w:p>
    <w:p>
      <w:pPr>
        <w:sectPr>
          <w:type w:val="continuous"/>
          <w:pgSz w:w="12240" w:h="15840" w:orient="portrait"/>
          <w:pgMar w:top="1080" w:right="900" w:bottom="1440" w:left="900" w:header="708" w:footer="708" w:gutter="0"/>
          <w:pgNumType/>
          <w:cols w:space="360" w:num="1" w:sep="false" w:equalWidth="true"/>
          <w:docGrid w:linePitch="360"/>
        </w:sectPr>
      </w:pPr>
    </w:p>
    <w:p>
      <w:pPr>
        <w:spacing w:after="120" w:before="0" w:line="220"/>
        <w:ind w:firstLine="2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 We demonstrate ACR Consult Assistant, a working retrieval-augmented LLM consult-support system grounded in the ACR Appropriateness Criteria. The system has four user-visible features: (i) free-text consult input via FastAPI or a Streamlit explorer; (ii) structured consult output with matched topic and variant, ranked recommendations with appropriateness scores and citations, RRL and IV-contrast safety flags, and a confidence label; (iii) explicit INSUFFICIENT_EVIDENCE response when no retrieved chunk crosses threshold; (iv) a per-response audit panel exposing the retrieval trace and any rejected (citation-invalid) recommendations. The demonstration scenario walks the audience through a thunderclap headache, a pregnant-patient appendicitis case, an off-topic query, and a deliberately negated low-back-pain case. The system runs locally on a laptop, requires no GPU, and operates in deterministic stub mode without an API key. We argue that demonstrations of this kind — interactive, locally-runnable, with explicit failure-case tours — are the right complement to numeric benchmarks for clinical-RAG papers.</w:t>
      </w:r>
    </w:p>
    <w:p>
      <w:pPr>
        <w:spacing w:after="200" w:before="0" w:line="220"/>
        <w:ind w:firstLine="2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 System demonstration, clinical decision support, retrieval-augmented generation, ACR Appropriateness Criteria, FastAPI, Streamlit.</w:t>
      </w:r>
    </w:p>
    <w:p>
      <w:pPr>
        <w:spacing w:after="80" w:before="200" w:line="240"/>
        <w:jc w:val="center"/>
      </w:pPr>
      <w:r>
        <w:rPr>
          <w:rFonts w:ascii="Times New Roman" w:cs="Times New Roman" w:eastAsia="Times New Roman" w:hAnsi="Times New Roman"/>
          <w:b/>
          <w:bCs/>
          <w:smallCaps/>
          <w:sz w:val="20"/>
          <w:szCs w:val="20"/>
        </w:rPr>
        <w:t xml:space="preserve">I. Introduction</w:t>
      </w:r>
    </w:p>
    <w:p>
      <w:pPr>
        <w:spacing w:after="80" w:before="0" w:line="240"/>
        <w:ind w:firstLine="200"/>
        <w:jc w:val="both"/>
      </w:pPr>
      <w:r>
        <w:rPr>
          <w:rFonts w:ascii="Times New Roman" w:cs="Times New Roman" w:eastAsia="Times New Roman" w:hAnsi="Times New Roman"/>
          <w:sz w:val="20"/>
          <w:szCs w:val="20"/>
        </w:rPr>
        <w:t xml:space="preserve">Most published clinical-RAG systems are described in numeric tables and architectural diagrams; few are exhibited as runnable demonstrations. We present ACR Consult Assistant, a working system for citation-faithful radiology consult support, in a format intended for the demo session. The demonstration is interactive, locally-runnable, and centred on a four-scenario tour.</w:t>
      </w:r>
    </w:p>
    <w:p>
      <w:pPr>
        <w:spacing w:after="80" w:before="200" w:line="240"/>
        <w:jc w:val="center"/>
      </w:pPr>
      <w:r>
        <w:rPr>
          <w:rFonts w:ascii="Times New Roman" w:cs="Times New Roman" w:eastAsia="Times New Roman" w:hAnsi="Times New Roman"/>
          <w:b/>
          <w:bCs/>
          <w:smallCaps/>
          <w:sz w:val="20"/>
          <w:szCs w:val="20"/>
        </w:rPr>
        <w:t xml:space="preserve">II. System Overview</w:t>
      </w:r>
    </w:p>
    <w:p>
      <w:pPr>
        <w:spacing w:after="80" w:before="0" w:line="240"/>
        <w:ind w:firstLine="200"/>
        <w:jc w:val="both"/>
      </w:pPr>
      <w:r>
        <w:rPr>
          <w:rFonts w:ascii="Times New Roman" w:cs="Times New Roman" w:eastAsia="Times New Roman" w:hAnsi="Times New Roman"/>
          <w:sz w:val="20"/>
          <w:szCs w:val="20"/>
        </w:rPr>
        <w:t xml:space="preserve">ACR Consult Assistant is a four-stage RAG pipeline [1], [2] grounded in the ACR Appropriateness Criteria [3], [4]. A FastAPI /consult endpoint accepts a free-text scenario; a BM25 retriever scores variant-level chunks of the seed knowledge base; an absolute-score abstention gate triggers an INSUFFICIENT_EVIDENCE response below threshold; an LLM generator (Anthropic Claude, with a deterministic stub fallback) emits a structured-JSON recommendation block constrained by an in-prompt grounding contract; a deterministic post-hoc citation validator strips any recommendation whose citation_id does not match a real retrieved chunk. The system is ~1.5k lines of Python.</w:t>
      </w:r>
    </w:p>
    <w:p>
      <w:pPr>
        <w:spacing w:after="80" w:before="200" w:line="240"/>
        <w:jc w:val="center"/>
      </w:pPr>
      <w:r>
        <w:rPr>
          <w:rFonts w:ascii="Times New Roman" w:cs="Times New Roman" w:eastAsia="Times New Roman" w:hAnsi="Times New Roman"/>
          <w:b/>
          <w:bCs/>
          <w:smallCaps/>
          <w:sz w:val="20"/>
          <w:szCs w:val="20"/>
        </w:rPr>
        <w:t xml:space="preserve">III. User-Visible Features</w:t>
      </w:r>
    </w:p>
    <w:p>
      <w:pPr>
        <w:spacing w:after="40" w:before="120" w:line="240"/>
        <w:jc w:val="left"/>
      </w:pPr>
      <w:r>
        <w:rPr>
          <w:rFonts w:ascii="Times New Roman" w:cs="Times New Roman" w:eastAsia="Times New Roman" w:hAnsi="Times New Roman"/>
          <w:i/>
          <w:iCs/>
          <w:sz w:val="20"/>
          <w:szCs w:val="20"/>
        </w:rPr>
        <w:t xml:space="preserve">A. Free-text input via two surfaces</w:t>
      </w:r>
    </w:p>
    <w:p>
      <w:pPr>
        <w:spacing w:after="80" w:before="0" w:line="240"/>
        <w:ind w:firstLine="200"/>
        <w:jc w:val="both"/>
      </w:pPr>
      <w:r>
        <w:rPr>
          <w:rFonts w:ascii="Times New Roman" w:cs="Times New Roman" w:eastAsia="Times New Roman" w:hAnsi="Times New Roman"/>
          <w:sz w:val="20"/>
          <w:szCs w:val="20"/>
        </w:rPr>
        <w:t xml:space="preserve">The audience can interact through either the FastAPI endpoint (curl or browser) or a Streamlit explorer (interactive scenario tweaking, side-by-side response inspection). Both surfaces accept arbitrary free-text consult scenarios and serialise the same structured response.</w:t>
      </w:r>
    </w:p>
    <w:p>
      <w:pPr>
        <w:spacing w:after="40" w:before="120" w:line="240"/>
        <w:jc w:val="left"/>
      </w:pPr>
      <w:r>
        <w:rPr>
          <w:rFonts w:ascii="Times New Roman" w:cs="Times New Roman" w:eastAsia="Times New Roman" w:hAnsi="Times New Roman"/>
          <w:i/>
          <w:iCs/>
          <w:sz w:val="20"/>
          <w:szCs w:val="20"/>
        </w:rPr>
        <w:t xml:space="preserve">B. Structured consult output</w:t>
      </w:r>
    </w:p>
    <w:p>
      <w:pPr>
        <w:spacing w:after="80" w:before="0" w:line="240"/>
        <w:ind w:firstLine="200"/>
        <w:jc w:val="both"/>
      </w:pPr>
      <w:r>
        <w:rPr>
          <w:rFonts w:ascii="Times New Roman" w:cs="Times New Roman" w:eastAsia="Times New Roman" w:hAnsi="Times New Roman"/>
          <w:sz w:val="20"/>
          <w:szCs w:val="20"/>
        </w:rPr>
        <w:t xml:space="preserve">Every response carries: matched_topic, matched_variant, matched_scenario (the canonical variant scenario string), an ordered list of recommendations (procedure, appropriateness 1–9, category, RRL, IV-contrast flag, citation_id, one-sentence rationale), explicit safety_flags for radiation and IV contrast, a what_would_change_management note, a confidence label (high/medium/low), the retrieval trace, the generator mode, and any rejected recommendations.</w:t>
      </w:r>
    </w:p>
    <w:p>
      <w:pPr>
        <w:spacing w:after="40" w:before="120" w:line="240"/>
        <w:jc w:val="left"/>
      </w:pPr>
      <w:r>
        <w:rPr>
          <w:rFonts w:ascii="Times New Roman" w:cs="Times New Roman" w:eastAsia="Times New Roman" w:hAnsi="Times New Roman"/>
          <w:i/>
          <w:iCs/>
          <w:sz w:val="20"/>
          <w:szCs w:val="20"/>
        </w:rPr>
        <w:t xml:space="preserve">C. Explicit abstention response</w:t>
      </w:r>
    </w:p>
    <w:p>
      <w:pPr>
        <w:spacing w:after="80" w:before="0" w:line="240"/>
        <w:ind w:firstLine="200"/>
        <w:jc w:val="both"/>
      </w:pPr>
      <w:r>
        <w:rPr>
          <w:rFonts w:ascii="Times New Roman" w:cs="Times New Roman" w:eastAsia="Times New Roman" w:hAnsi="Times New Roman"/>
          <w:sz w:val="20"/>
          <w:szCs w:val="20"/>
        </w:rPr>
        <w:t xml:space="preserve">Off-topic queries return topic_match = "INSUFFICIENT_EVIDENCE" with an empty recommendations list and an explicit reason. The audience can verify abstention behaviour by typing arbitrary off-topic text.</w:t>
      </w:r>
    </w:p>
    <w:p>
      <w:pPr>
        <w:spacing w:after="40" w:before="120" w:line="240"/>
        <w:jc w:val="left"/>
      </w:pPr>
      <w:r>
        <w:rPr>
          <w:rFonts w:ascii="Times New Roman" w:cs="Times New Roman" w:eastAsia="Times New Roman" w:hAnsi="Times New Roman"/>
          <w:i/>
          <w:iCs/>
          <w:sz w:val="20"/>
          <w:szCs w:val="20"/>
        </w:rPr>
        <w:t xml:space="preserve">D. Per-response audit panel</w:t>
      </w:r>
    </w:p>
    <w:p>
      <w:pPr>
        <w:spacing w:after="80" w:before="0" w:line="240"/>
        <w:ind w:firstLine="200"/>
        <w:jc w:val="both"/>
      </w:pPr>
      <w:r>
        <w:rPr>
          <w:rFonts w:ascii="Times New Roman" w:cs="Times New Roman" w:eastAsia="Times New Roman" w:hAnsi="Times New Roman"/>
          <w:sz w:val="20"/>
          <w:szCs w:val="20"/>
        </w:rPr>
        <w:t xml:space="preserve">The Streamlit explorer renders a collapsible audit panel that surfaces (i) every retrieved chunk with its BM25 score and normalised score; (ii) every rejected (citation-invalid) recommendation with the bad citation_id; (iii) the generator mode (stub vs. claude). This is the demonstration's primary differentiator from prior radiology-LLM exhibits [5], [6].</w:t>
      </w:r>
    </w:p>
    <w:p>
      <w:pPr>
        <w:spacing w:after="80" w:before="200" w:line="240"/>
        <w:jc w:val="center"/>
      </w:pPr>
      <w:r>
        <w:rPr>
          <w:rFonts w:ascii="Times New Roman" w:cs="Times New Roman" w:eastAsia="Times New Roman" w:hAnsi="Times New Roman"/>
          <w:b/>
          <w:bCs/>
          <w:smallCaps/>
          <w:sz w:val="20"/>
          <w:szCs w:val="20"/>
        </w:rPr>
        <w:t xml:space="preserve">IV. Demonstration Scenario Tour</w:t>
      </w:r>
    </w:p>
    <w:p>
      <w:pPr>
        <w:spacing w:after="80" w:before="0" w:line="240"/>
        <w:ind w:firstLine="200"/>
        <w:jc w:val="both"/>
      </w:pPr>
      <w:r>
        <w:rPr>
          <w:rFonts w:ascii="Times New Roman" w:cs="Times New Roman" w:eastAsia="Times New Roman" w:hAnsi="Times New Roman"/>
          <w:sz w:val="20"/>
          <w:szCs w:val="20"/>
        </w:rPr>
        <w:t xml:space="preserve">The 8-minute live tour walks four scenarios:</w:t>
      </w:r>
    </w:p>
    <w:p>
      <w:pPr>
        <w:pStyle w:val="ListParagraph"/>
        <w:numPr>
          <w:ilvl w:val="0"/>
          <w:numId w:val="2"/>
        </w:numPr>
        <w:spacing w:after="60" w:before="0" w:line="240"/>
      </w:pPr>
      <w:r>
        <w:rPr>
          <w:rFonts w:ascii="Times New Roman" w:cs="Times New Roman" w:eastAsia="Times New Roman" w:hAnsi="Times New Roman"/>
          <w:sz w:val="20"/>
          <w:szCs w:val="20"/>
        </w:rPr>
        <w:t xml:space="preserve">Thunderclap headache: "42F sudden severe headache, worst of life, no trauma." The system routes to Headache v1 (thunderclap), recommends CT head without IV contrast (appropriateness 9), surfaces the high-RRL safety flag, and shows the citation trace back to the panel-rated source.</w:t>
      </w:r>
    </w:p>
    <w:p>
      <w:pPr>
        <w:pStyle w:val="ListParagraph"/>
        <w:numPr>
          <w:ilvl w:val="0"/>
          <w:numId w:val="2"/>
        </w:numPr>
        <w:spacing w:after="60" w:before="0" w:line="240"/>
      </w:pPr>
      <w:r>
        <w:rPr>
          <w:rFonts w:ascii="Times New Roman" w:cs="Times New Roman" w:eastAsia="Times New Roman" w:hAnsi="Times New Roman"/>
          <w:sz w:val="20"/>
          <w:szCs w:val="20"/>
        </w:rPr>
        <w:t xml:space="preserve">Pregnant appendicitis: "28F pregnant, second trimester, RLQ pain, fever, leukocytosis." The system distinguishes the pregnancy variant from the generic adult variant and recommends US abdomen RLQ (appropriateness 9), with no ionising radiation flag.</w:t>
      </w:r>
    </w:p>
    <w:p>
      <w:pPr>
        <w:pStyle w:val="ListParagraph"/>
        <w:numPr>
          <w:ilvl w:val="0"/>
          <w:numId w:val="2"/>
        </w:numPr>
        <w:spacing w:after="60" w:before="0" w:line="240"/>
      </w:pPr>
      <w:r>
        <w:rPr>
          <w:rFonts w:ascii="Times New Roman" w:cs="Times New Roman" w:eastAsia="Times New Roman" w:hAnsi="Times New Roman"/>
          <w:sz w:val="20"/>
          <w:szCs w:val="20"/>
        </w:rPr>
        <w:t xml:space="preserve">Off-topic abstention: "How do I bake chocolate-chip cookies?" The system surfaces INSUFFICIENT_EVIDENCE; the audit panel shows the BM25 top score below the 2.0 floor.</w:t>
      </w:r>
    </w:p>
    <w:p>
      <w:pPr>
        <w:pStyle w:val="ListParagraph"/>
        <w:numPr>
          <w:ilvl w:val="0"/>
          <w:numId w:val="2"/>
        </w:numPr>
        <w:spacing w:after="60" w:before="0" w:line="240"/>
      </w:pPr>
      <w:r>
        <w:rPr>
          <w:rFonts w:ascii="Times New Roman" w:cs="Times New Roman" w:eastAsia="Times New Roman" w:hAnsi="Times New Roman"/>
          <w:sz w:val="20"/>
          <w:szCs w:val="20"/>
        </w:rPr>
        <w:t xml:space="preserve">Deliberately negated LBP: "34M three days mild LBP, no fever, no weight loss, no cancer history." The system routes to the red-flag variant — a documented failure — and the matched_scenario field reveals the mismatch immediately. The audience sees how the system surfaces a wrong answer in a way the consulting clinician would catch.</w:t>
      </w:r>
    </w:p>
    <w:p>
      <w:pPr>
        <w:spacing w:after="80" w:before="200" w:line="240"/>
        <w:jc w:val="center"/>
      </w:pPr>
      <w:r>
        <w:rPr>
          <w:rFonts w:ascii="Times New Roman" w:cs="Times New Roman" w:eastAsia="Times New Roman" w:hAnsi="Times New Roman"/>
          <w:b/>
          <w:bCs/>
          <w:smallCaps/>
          <w:sz w:val="20"/>
          <w:szCs w:val="20"/>
        </w:rPr>
        <w:t xml:space="preserve">V. Headline Numbers (For Reference)</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4080"/>
        <w:gridCol w:w="1320"/>
        <w:gridCol w:w="2040"/>
      </w:tblGrid>
      <w:tr>
        <w:tc>
          <w:tcPr>
            <w:tcW w:type="dxa" w:w="408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Metric</w:t>
            </w:r>
          </w:p>
        </w:tc>
        <w:tc>
          <w:tcPr>
            <w:tcW w:type="dxa" w:w="132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Value</w:t>
            </w:r>
          </w:p>
        </w:tc>
        <w:tc>
          <w:tcPr>
            <w:tcW w:type="dxa" w:w="2040"/>
            <w:tcBorders>
              <w:top w:val="single" w:color="000000" w:sz="4"/>
              <w:left w:val="single" w:color="000000" w:sz="4"/>
              <w:bottom w:val="single" w:color="000000" w:sz="4"/>
              <w:right w:val="single" w:color="000000" w:sz="4"/>
            </w:tcBorders>
            <w:shd w:fill="E5E5E5" w:color="auto" w:val="clear"/>
            <w:tcMar>
              <w:top w:type="dxa" w:w="40"/>
              <w:left w:type="dxa" w:w="80"/>
              <w:bottom w:type="dxa" w:w="40"/>
              <w:right w:type="dxa" w:w="80"/>
            </w:tcMar>
          </w:tcPr>
          <w:p>
            <w:pPr>
              <w:spacing w:after="0" w:before="0"/>
              <w:jc w:val="center"/>
            </w:pPr>
            <w:r>
              <w:rPr>
                <w:rFonts w:ascii="Times New Roman" w:cs="Times New Roman" w:eastAsia="Times New Roman" w:hAnsi="Times New Roman"/>
                <w:b/>
                <w:bCs/>
                <w:sz w:val="16"/>
                <w:szCs w:val="16"/>
              </w:rPr>
              <w:t xml:space="preserve">Notes</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Topic accuracy (n=8)</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Variant accuracy (n=8)</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87.5%</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negation miss</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Citation fidelity</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100.0%</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invariant</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Off-topic abstention (n=7)</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85.7%</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Pipeline latency (stub)</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0.04 ms</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mean over 100</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KB chunks (seed)</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12</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5 topics</w:t>
            </w:r>
          </w:p>
        </w:tc>
      </w:tr>
      <w:tr>
        <w:tc>
          <w:tcPr>
            <w:tcW w:type="dxa" w:w="40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Code (Python)</w:t>
            </w:r>
          </w:p>
        </w:tc>
        <w:tc>
          <w:tcPr>
            <w:tcW w:type="dxa" w:w="132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~1.5 kLoC</w:t>
            </w:r>
          </w:p>
        </w:tc>
        <w:tc>
          <w:tcPr>
            <w:tcW w:type="dxa" w:w="204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jc w:val="left"/>
            </w:pPr>
            <w:r>
              <w:rPr>
                <w:rFonts w:ascii="Times New Roman" w:cs="Times New Roman" w:eastAsia="Times New Roman" w:hAnsi="Times New Roman"/>
                <w:sz w:val="16"/>
                <w:szCs w:val="16"/>
              </w:rPr>
              <w:t xml:space="preserve">—</w:t>
            </w:r>
          </w:p>
        </w:tc>
      </w:tr>
    </w:tbl>
    <w:p>
      <w:pPr>
        <w:spacing w:after="160" w:before="40" w:line="220"/>
        <w:jc w:val="center"/>
      </w:pPr>
      <w:r>
        <w:rPr>
          <w:rFonts w:ascii="Times New Roman" w:cs="Times New Roman" w:eastAsia="Times New Roman" w:hAnsi="Times New Roman"/>
          <w:i/>
          <w:iCs/>
          <w:sz w:val="16"/>
          <w:szCs w:val="16"/>
        </w:rPr>
        <w:t xml:space="preserve">TABLE I: Headline reference numbers for the demonstrated system.</w:t>
      </w:r>
    </w:p>
    <w:p>
      <w:pPr>
        <w:spacing w:after="80" w:before="200" w:line="240"/>
        <w:jc w:val="center"/>
      </w:pPr>
      <w:r>
        <w:rPr>
          <w:rFonts w:ascii="Times New Roman" w:cs="Times New Roman" w:eastAsia="Times New Roman" w:hAnsi="Times New Roman"/>
          <w:b/>
          <w:bCs/>
          <w:smallCaps/>
          <w:sz w:val="20"/>
          <w:szCs w:val="20"/>
        </w:rPr>
        <w:t xml:space="preserve">VI. Hardware and Setup</w:t>
      </w:r>
    </w:p>
    <w:p>
      <w:pPr>
        <w:spacing w:after="80" w:before="0" w:line="240"/>
        <w:ind w:firstLine="200"/>
        <w:jc w:val="both"/>
      </w:pPr>
      <w:r>
        <w:rPr>
          <w:rFonts w:ascii="Times New Roman" w:cs="Times New Roman" w:eastAsia="Times New Roman" w:hAnsi="Times New Roman"/>
          <w:sz w:val="20"/>
          <w:szCs w:val="20"/>
        </w:rPr>
        <w:t xml:space="preserve">The system runs on a commodity laptop (no GPU). Setup is one virtualenv install (rank-bm25, FastAPI, Pydantic, Streamlit, anthropic SDK), one index-build command (deterministic; rebuild idempotent), and one harness invocation. The deterministic stub-generator mode eliminates the API-key dependency for the live demonstration; the LLM-augmented mode is available with a key.</w:t>
      </w:r>
    </w:p>
    <w:p>
      <w:pPr>
        <w:spacing w:after="80" w:before="200" w:line="240"/>
        <w:jc w:val="center"/>
      </w:pPr>
      <w:r>
        <w:rPr>
          <w:rFonts w:ascii="Times New Roman" w:cs="Times New Roman" w:eastAsia="Times New Roman" w:hAnsi="Times New Roman"/>
          <w:b/>
          <w:bCs/>
          <w:smallCaps/>
          <w:sz w:val="20"/>
          <w:szCs w:val="20"/>
        </w:rPr>
        <w:t xml:space="preserve">VII. Limitations</w:t>
      </w:r>
    </w:p>
    <w:p>
      <w:pPr>
        <w:spacing w:after="80" w:before="0" w:line="240"/>
        <w:ind w:firstLine="200"/>
        <w:jc w:val="both"/>
      </w:pPr>
      <w:r>
        <w:rPr>
          <w:rFonts w:ascii="Times New Roman" w:cs="Times New Roman" w:eastAsia="Times New Roman" w:hAnsi="Times New Roman"/>
          <w:sz w:val="20"/>
          <w:szCs w:val="20"/>
        </w:rPr>
        <w:t xml:space="preserve">The seed corpus is synthetic and illustrative; production deployment requires a properly licensed ACR-AC ingestion. The system is a research prototype and is not certified for clinical use. The 8-scenario in-domain harness is small.</w:t>
      </w:r>
    </w:p>
    <w:p>
      <w:pPr>
        <w:spacing w:after="80" w:before="200" w:line="240"/>
        <w:jc w:val="center"/>
      </w:pPr>
      <w:r>
        <w:rPr>
          <w:rFonts w:ascii="Times New Roman" w:cs="Times New Roman" w:eastAsia="Times New Roman" w:hAnsi="Times New Roman"/>
          <w:b/>
          <w:bCs/>
          <w:smallCaps/>
          <w:sz w:val="20"/>
          <w:szCs w:val="20"/>
        </w:rPr>
        <w:t xml:space="preserve">VIII. Conclusion</w:t>
      </w:r>
    </w:p>
    <w:p>
      <w:pPr>
        <w:spacing w:after="80" w:before="0" w:line="240"/>
        <w:ind w:firstLine="200"/>
        <w:jc w:val="both"/>
      </w:pPr>
      <w:r>
        <w:rPr>
          <w:rFonts w:ascii="Times New Roman" w:cs="Times New Roman" w:eastAsia="Times New Roman" w:hAnsi="Times New Roman"/>
          <w:sz w:val="20"/>
          <w:szCs w:val="20"/>
        </w:rPr>
        <w:t xml:space="preserve">We demonstrate a citation-faithful clinical-RAG system grounded in the ACR Appropriateness Criteria, with four user-visible features (free-text input, structured output, explicit abstention, per-response audit panel) and a four-scenario tour that includes a deliberately negated case. The demonstration runs locally on commodity hardware in deterministic stub mode. We commend live, locally-runnable demos as the right complement to numeric benchmarks for clinical-RAG papers.</w:t>
      </w:r>
    </w:p>
    <w:p>
      <w:pPr>
        <w:spacing w:after="80" w:before="200" w:line="240"/>
        <w:jc w:val="center"/>
      </w:pPr>
      <w:r>
        <w:rPr>
          <w:rFonts w:ascii="Times New Roman" w:cs="Times New Roman" w:eastAsia="Times New Roman" w:hAnsi="Times New Roman"/>
          <w:b/>
          <w:bCs/>
          <w:smallCaps/>
          <w:sz w:val="20"/>
          <w:szCs w:val="20"/>
        </w:rPr>
        <w:t xml:space="preserve">References</w:t>
      </w:r>
    </w:p>
    <w:p>
      <w:pPr>
        <w:spacing w:after="50" w:before="0" w:line="200"/>
        <w:ind w:left="240" w:hanging="240"/>
        <w:jc w:val="both"/>
      </w:pPr>
      <w:r>
        <w:rPr>
          <w:rFonts w:ascii="Times New Roman" w:cs="Times New Roman" w:eastAsia="Times New Roman" w:hAnsi="Times New Roman"/>
          <w:sz w:val="16"/>
          <w:szCs w:val="16"/>
        </w:rPr>
        <w:t xml:space="preserve">[1] P. Lewis, E. Perez, A. Piktus, F. Petroni, V. Karpukhin, N. Goyal, H. Küttler, M. Lewis, W. Yih, T. Rocktäschel, S. Riedel, and D. Kiela, "Retrieval-Augmented Generation for Knowledge-Intensive NLP Tasks," in Adv. Neural Inf. Process. Syst. (NeurIPS), vol. 33, 2020, pp. 9459–9474. arXiv:2005.11401.</w:t>
      </w:r>
    </w:p>
    <w:p>
      <w:pPr>
        <w:spacing w:after="50" w:before="0" w:line="200"/>
        <w:ind w:left="240" w:hanging="240"/>
        <w:jc w:val="both"/>
      </w:pPr>
      <w:r>
        <w:rPr>
          <w:rFonts w:ascii="Times New Roman" w:cs="Times New Roman" w:eastAsia="Times New Roman" w:hAnsi="Times New Roman"/>
          <w:sz w:val="16"/>
          <w:szCs w:val="16"/>
        </w:rPr>
        <w:t xml:space="preserve">[2] S. Robertson and H. Zaragoza, "The Probabilistic Relevance Framework: BM25 and Beyond," Foundations and Trends in Information Retrieval, vol. 3, no. 4, pp. 333–389, 2009. doi:10.1561/1500000019.</w:t>
      </w:r>
    </w:p>
    <w:p>
      <w:pPr>
        <w:spacing w:after="50" w:before="0" w:line="200"/>
        <w:ind w:left="240" w:hanging="240"/>
        <w:jc w:val="both"/>
      </w:pPr>
      <w:r>
        <w:rPr>
          <w:rFonts w:ascii="Times New Roman" w:cs="Times New Roman" w:eastAsia="Times New Roman" w:hAnsi="Times New Roman"/>
          <w:sz w:val="16"/>
          <w:szCs w:val="16"/>
        </w:rPr>
        <w:t xml:space="preserve">[3] D. A. Kurth, B. K. Karmazyn, C. A. Waldrip, M. Chatfield, and M. E. Lockhart, "ACR Appropriateness Criteria® Methodology," J. Am. Coll. Radiol., vol. 18, no. 11S, pp. S240–S250, 2021.</w:t>
      </w:r>
    </w:p>
    <w:p>
      <w:pPr>
        <w:spacing w:after="50" w:before="0" w:line="200"/>
        <w:ind w:left="240" w:hanging="240"/>
        <w:jc w:val="both"/>
      </w:pPr>
      <w:r>
        <w:rPr>
          <w:rFonts w:ascii="Times New Roman" w:cs="Times New Roman" w:eastAsia="Times New Roman" w:hAnsi="Times New Roman"/>
          <w:sz w:val="16"/>
          <w:szCs w:val="16"/>
        </w:rPr>
        <w:t xml:space="preserve">[4] C. L. Sistrom, "In Support of the ACR Appropriateness Criteria," J. Am. Coll. Radiol., vol. 5, no. 5, pp. 630–635, 2008.</w:t>
      </w:r>
    </w:p>
    <w:p>
      <w:pPr>
        <w:spacing w:after="50" w:before="0" w:line="200"/>
        <w:ind w:left="240" w:hanging="240"/>
        <w:jc w:val="both"/>
      </w:pPr>
      <w:r>
        <w:rPr>
          <w:rFonts w:ascii="Times New Roman" w:cs="Times New Roman" w:eastAsia="Times New Roman" w:hAnsi="Times New Roman"/>
          <w:sz w:val="16"/>
          <w:szCs w:val="16"/>
        </w:rPr>
        <w:t xml:space="preserve">[5] R. Bhayana, "Chatbots and Large Language Models in Radiology: A Practical Primer for Clinical and Research Applications," Radiology, vol. 310, no. 1, e232756, 2024.</w:t>
      </w:r>
    </w:p>
    <w:p>
      <w:pPr>
        <w:spacing w:after="50" w:before="0" w:line="200"/>
        <w:ind w:left="240" w:hanging="240"/>
        <w:jc w:val="both"/>
      </w:pPr>
      <w:r>
        <w:rPr>
          <w:rFonts w:ascii="Times New Roman" w:cs="Times New Roman" w:eastAsia="Times New Roman" w:hAnsi="Times New Roman"/>
          <w:sz w:val="16"/>
          <w:szCs w:val="16"/>
        </w:rPr>
        <w:t xml:space="preserve">[6] L. C. Adams, D. Truhn, F. Busch, A. Kader, S. M. Niehues, M. R. Makowski, and K. K. Bressem, "Leveraging GPT-4 for Post Hoc Transformation of Free-Text Radiology Reports into Structured Reporting: A Multilingual Feasibility Study," Radiology, vol. 307, no. 4, e230725, 2023.</w:t>
      </w:r>
    </w:p>
    <w:sectPr>
      <w:type w:val="continuous"/>
      <w:pgSz w:w="12240" w:h="15840" w:orient="portrait"/>
      <w:pgMar w:top="1080" w:right="900" w:bottom="144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IEEETitle">
    <w:name w:val="IEEE Title"/>
    <w:basedOn w:val="Normal"/>
    <w:next w:val="Normal"/>
    <w:qFormat/>
    <w:pPr>
      <w:spacing w:after="240" w:before="0" w:line="280"/>
      <w:jc w:val="center"/>
    </w:pPr>
    <w:rPr>
      <w:rFonts w:ascii="Times New Roman" w:cs="Times New Roman" w:eastAsia="Times New Roman" w:hAnsi="Times New Roman"/>
      <w:b/>
      <w:bCs/>
      <w:sz w:val="48"/>
      <w:szCs w:val="48"/>
    </w:rPr>
  </w:style>
  <w:style w:type="paragraph" w:styleId="IEEEAuthor">
    <w:name w:val="IEEE Author"/>
    <w:basedOn w:val="Normal"/>
    <w:next w:val="Normal"/>
    <w:qFormat/>
    <w:pPr>
      <w:spacing w:after="80" w:before="80" w:line="240"/>
      <w:jc w:val="center"/>
    </w:pPr>
    <w:rPr>
      <w:rFonts w:ascii="Times New Roman" w:cs="Times New Roman" w:eastAsia="Times New Roman" w:hAnsi="Times New Roman"/>
      <w:sz w:val="22"/>
      <w:szCs w:val="22"/>
    </w:rPr>
  </w:style>
  <w:style w:type="paragraph" w:styleId="Heading1">
    <w:name w:val="Heading 1"/>
    <w:basedOn w:val="Normal"/>
    <w:next w:val="Normal"/>
    <w:qFormat/>
    <w:pPr>
      <w:spacing w:after="100" w:before="200" w:line="240"/>
      <w:jc w:val="center"/>
      <w:outlineLvl w:val="0"/>
    </w:pPr>
    <w:rPr>
      <w:rFonts w:ascii="Times New Roman" w:cs="Times New Roman" w:eastAsia="Times New Roman" w:hAnsi="Times New Roman"/>
      <w:b/>
      <w:bCs/>
      <w:smallCaps/>
      <w:sz w:val="20"/>
      <w:szCs w:val="20"/>
    </w:rPr>
  </w:style>
  <w:style w:type="paragraph" w:styleId="Heading2">
    <w:name w:val="Heading 2"/>
    <w:basedOn w:val="Normal"/>
    <w:next w:val="Normal"/>
    <w:qFormat/>
    <w:pPr>
      <w:spacing w:after="60" w:before="140" w:line="240"/>
      <w:outlineLvl w:val="1"/>
    </w:pPr>
    <w:rPr>
      <w:rFonts w:ascii="Times New Roman" w:cs="Times New Roman" w:eastAsia="Times New Roman" w:hAnsi="Times New Roman"/>
      <w:i/>
      <w:iCs/>
      <w:sz w:val="20"/>
      <w:szCs w:val="20"/>
    </w:rPr>
  </w:style>
  <w:style w:type="paragraph" w:styleId="IEEECaption">
    <w:name w:val="IEEE Caption"/>
    <w:basedOn w:val="Normal"/>
    <w:next w:val="Normal"/>
    <w:qFormat/>
    <w:pPr>
      <w:spacing w:after="160" w:before="60" w:line="220"/>
      <w:jc w:val="center"/>
    </w:pPr>
    <w:rPr>
      <w:rFonts w:ascii="Times New Roman" w:cs="Times New Roman" w:eastAsia="Times New Roman" w:hAnsi="Times New Roman"/>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2026-04-29T02:56:34.186Z</dcterms:created>
  <dcterms:modified xsi:type="dcterms:W3CDTF">2026-04-29T02:56:34.186Z</dcterms:modified>
</cp:coreProperties>
</file>

<file path=docProps/custom.xml><?xml version="1.0" encoding="utf-8"?>
<Properties xmlns="http://schemas.openxmlformats.org/officeDocument/2006/custom-properties" xmlns:vt="http://schemas.openxmlformats.org/officeDocument/2006/docPropsVTypes"/>
</file>