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Three Architectural Baselines for LLM-Backed Radiology Consult Support: A Comparative Study Design</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We propose a comparative study design over three architectural baselines for LLM-backed radiology consult support: (B1) LLM-only (no retrieval), (B2) generic open-domain RAG over a medical-text corpus, and (B3) guideline-grounded citation-faithful RAG over the ACR Appropriateness Criteria — the system that anchors this paper. We articulate the four metrics on which the baselines should be compared (topic accuracy, variant accuracy, citation fidelity, off-topic abstention), report B3's numbers from a live evaluation harness (100% topic, 87.5% variant, 100% citation fidelity, 85.7% abstention), and discuss the expected relative ranking of B1, B2, and B3 on each metric based on prior work. The contribution is the structured comparison protocol; the empirical comparison itself is reserved for a follow-up. We argue that a comparative study of this shape should be the default form of evaluation for any clinical-RAG paper, displacing the more common single-system-against-static-benchmark format.</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Comparative study, baselines, RAG, clinical decision support, ACR Appropriateness Criteria, evaluation methodology.</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Clinical-LLM papers usually report a single system's headline accuracy on a static benchmark; the comparative question — "is this any better than a much simpler thing?" — is rarely posed explicitly. We propose a comparative study design that answers it. Three baselines, four metrics, eight in-domain scenarios plus seven off-topic probes. Section II names the baselines. Section III names the metrics. Section IV describes the protocol. Section V reports baseline B3's numbers from our live system. Section VI discusses expected relative rankings.</w:t>
      </w:r>
    </w:p>
    <w:p>
      <w:pPr>
        <w:spacing w:after="80" w:before="200" w:line="240"/>
        <w:jc w:val="center"/>
      </w:pPr>
      <w:r>
        <w:rPr>
          <w:rFonts w:ascii="Times New Roman" w:cs="Times New Roman" w:eastAsia="Times New Roman" w:hAnsi="Times New Roman"/>
          <w:b/>
          <w:bCs/>
          <w:smallCaps/>
          <w:sz w:val="20"/>
          <w:szCs w:val="20"/>
        </w:rPr>
        <w:t xml:space="preserve">II. Three Baselines</w:t>
      </w:r>
    </w:p>
    <w:p>
      <w:pPr>
        <w:spacing w:after="40" w:before="120" w:line="240"/>
        <w:jc w:val="left"/>
      </w:pPr>
      <w:r>
        <w:rPr>
          <w:rFonts w:ascii="Times New Roman" w:cs="Times New Roman" w:eastAsia="Times New Roman" w:hAnsi="Times New Roman"/>
          <w:i/>
          <w:iCs/>
          <w:sz w:val="20"/>
          <w:szCs w:val="20"/>
        </w:rPr>
        <w:t xml:space="preserve">A. B1 — LLM-only (no retrieval)</w:t>
      </w:r>
    </w:p>
    <w:p>
      <w:pPr>
        <w:spacing w:after="80" w:before="0" w:line="240"/>
        <w:ind w:firstLine="200"/>
        <w:jc w:val="both"/>
      </w:pPr>
      <w:r>
        <w:rPr>
          <w:rFonts w:ascii="Times New Roman" w:cs="Times New Roman" w:eastAsia="Times New Roman" w:hAnsi="Times New Roman"/>
          <w:sz w:val="20"/>
          <w:szCs w:val="20"/>
        </w:rPr>
        <w:t xml:space="preserve">A frontier LLM [1], [2], [3], [4], [5] is asked to recommend imaging directly given the clinical scenario, with no retrieval and no constraint beyond a structured-JSON output schema. The expected weakness, well-documented in the radiology-LLM literature [6], [7], [8], is fabrication: procedures and citations not in any official guideline, with no mechanism for the system to admit uncertainty.</w:t>
      </w:r>
    </w:p>
    <w:p>
      <w:pPr>
        <w:spacing w:after="40" w:before="120" w:line="240"/>
        <w:jc w:val="left"/>
      </w:pPr>
      <w:r>
        <w:rPr>
          <w:rFonts w:ascii="Times New Roman" w:cs="Times New Roman" w:eastAsia="Times New Roman" w:hAnsi="Times New Roman"/>
          <w:i/>
          <w:iCs/>
          <w:sz w:val="20"/>
          <w:szCs w:val="20"/>
        </w:rPr>
        <w:t xml:space="preserve">B. B2 — Generic open-domain RAG</w:t>
      </w:r>
    </w:p>
    <w:p>
      <w:pPr>
        <w:spacing w:after="80" w:before="0" w:line="240"/>
        <w:ind w:firstLine="200"/>
        <w:jc w:val="both"/>
      </w:pPr>
      <w:r>
        <w:rPr>
          <w:rFonts w:ascii="Times New Roman" w:cs="Times New Roman" w:eastAsia="Times New Roman" w:hAnsi="Times New Roman"/>
          <w:sz w:val="20"/>
          <w:szCs w:val="20"/>
        </w:rPr>
        <w:t xml:space="preserve">A standard RAG architecture [9], [10], [11], [12] retrieves over an open-domain medical corpus (e.g. textbook chapters or PubMed abstracts) and conditions the LLM on the retrieved passages. MedRAG [13] is a representative implementation and benchmark. The expected weakness is that the retrieval corpus is not the citation corpus; recommendations cite text that is not panel-rated guidance, and citation existence is therefore a different (and weaker) property than citation faithfulness in the sense relevant to clinical decision support.</w:t>
      </w:r>
    </w:p>
    <w:p>
      <w:pPr>
        <w:spacing w:after="40" w:before="120" w:line="240"/>
        <w:jc w:val="left"/>
      </w:pPr>
      <w:r>
        <w:rPr>
          <w:rFonts w:ascii="Times New Roman" w:cs="Times New Roman" w:eastAsia="Times New Roman" w:hAnsi="Times New Roman"/>
          <w:i/>
          <w:iCs/>
          <w:sz w:val="20"/>
          <w:szCs w:val="20"/>
        </w:rPr>
        <w:t xml:space="preserve">C. B3 — Guideline-grounded citation-faithful RAG</w:t>
      </w:r>
    </w:p>
    <w:p>
      <w:pPr>
        <w:spacing w:after="80" w:before="0" w:line="240"/>
        <w:ind w:firstLine="200"/>
        <w:jc w:val="both"/>
      </w:pPr>
      <w:r>
        <w:rPr>
          <w:rFonts w:ascii="Times New Roman" w:cs="Times New Roman" w:eastAsia="Times New Roman" w:hAnsi="Times New Roman"/>
          <w:sz w:val="20"/>
          <w:szCs w:val="20"/>
        </w:rPr>
        <w:t xml:space="preserve">The system that anchors this paper. Variant-level chunks of the ACR Appropriateness Criteria; absolute-score abstention gate; in-prompt grounding contract; deterministic post-hoc citation validator that strips any recommendation whose citation_id does not match a real retrieved chunk. The retrieval corpus is the citation corpus.</w:t>
      </w:r>
    </w:p>
    <w:p>
      <w:pPr>
        <w:spacing w:after="80" w:before="200" w:line="240"/>
        <w:jc w:val="center"/>
      </w:pPr>
      <w:r>
        <w:rPr>
          <w:rFonts w:ascii="Times New Roman" w:cs="Times New Roman" w:eastAsia="Times New Roman" w:hAnsi="Times New Roman"/>
          <w:b/>
          <w:bCs/>
          <w:smallCaps/>
          <w:sz w:val="20"/>
          <w:szCs w:val="20"/>
        </w:rPr>
        <w:t xml:space="preserve">III. Four Metrics</w:t>
      </w:r>
    </w:p>
    <w:p>
      <w:pPr>
        <w:spacing w:after="80" w:before="0" w:line="240"/>
        <w:ind w:firstLine="200"/>
        <w:jc w:val="both"/>
      </w:pPr>
      <w:r>
        <w:rPr>
          <w:rFonts w:ascii="Times New Roman" w:cs="Times New Roman" w:eastAsia="Times New Roman" w:hAnsi="Times New Roman"/>
          <w:sz w:val="20"/>
          <w:szCs w:val="20"/>
        </w:rPr>
        <w:t xml:space="preserve">Following Almanac's factuality / completeness / safety framing [14] and the AIS attribution literature [15], [16]: topic accuracy, variant accuracy, citation fidelity, and off-topic abstention rate. The choice is deliberate: each metric corresponds to a specific failure mode that distinguishes the baselines architecturally.</w:t>
      </w:r>
    </w:p>
    <w:p>
      <w:pPr>
        <w:spacing w:after="80" w:before="200" w:line="240"/>
        <w:jc w:val="center"/>
      </w:pPr>
      <w:r>
        <w:rPr>
          <w:rFonts w:ascii="Times New Roman" w:cs="Times New Roman" w:eastAsia="Times New Roman" w:hAnsi="Times New Roman"/>
          <w:b/>
          <w:bCs/>
          <w:smallCaps/>
          <w:sz w:val="20"/>
          <w:szCs w:val="20"/>
        </w:rPr>
        <w:t xml:space="preserve">IV. Protocol</w:t>
      </w:r>
    </w:p>
    <w:p>
      <w:pPr>
        <w:spacing w:after="80" w:before="0" w:line="240"/>
        <w:ind w:firstLine="200"/>
        <w:jc w:val="both"/>
      </w:pPr>
      <w:r>
        <w:rPr>
          <w:rFonts w:ascii="Times New Roman" w:cs="Times New Roman" w:eastAsia="Times New Roman" w:hAnsi="Times New Roman"/>
          <w:sz w:val="20"/>
          <w:szCs w:val="20"/>
        </w:rPr>
        <w:t xml:space="preserve">A common test set: eight in-domain consult scenarios covering thunderclap headache, low back pain (with and without red flags), low/intermediate-risk acute coronary syndrome, suspected appendicitis (adult, pregnant, pediatric), and suspected pulmonary embolism (general, pregnant); plus seven off-topic abstention probes. Ground-truth labels are taken from the ACR Appropriateness Criteria. A single API surface that all three baselines implement; the test harness invokes each baseline through that surface and computes the four metrics. The same scenario seed is used across baselines to control for input variance. Random seeds are fixed where stochasticity is present.</w:t>
      </w:r>
    </w:p>
    <w:p>
      <w:pPr>
        <w:spacing w:after="80" w:before="200" w:line="240"/>
        <w:jc w:val="center"/>
      </w:pPr>
      <w:r>
        <w:rPr>
          <w:rFonts w:ascii="Times New Roman" w:cs="Times New Roman" w:eastAsia="Times New Roman" w:hAnsi="Times New Roman"/>
          <w:b/>
          <w:bCs/>
          <w:smallCaps/>
          <w:sz w:val="20"/>
          <w:szCs w:val="20"/>
        </w:rPr>
        <w:t xml:space="preserve">V. Baseline B3 Numbers (Reported Live)</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3360"/>
        <w:gridCol w:w="1320"/>
        <w:gridCol w:w="720"/>
        <w:gridCol w:w="2040"/>
      </w:tblGrid>
      <w:tr>
        <w:tc>
          <w:tcPr>
            <w:tcW w:type="dxa" w:w="336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Metric</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B3 score</w:t>
            </w:r>
          </w:p>
        </w:tc>
        <w:tc>
          <w:tcPr>
            <w:tcW w:type="dxa" w:w="7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w:t>
            </w:r>
          </w:p>
        </w:tc>
        <w:tc>
          <w:tcPr>
            <w:tcW w:type="dxa" w:w="20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Topic accuracy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8/8</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no misroutes</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Variant accuracy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negation miss</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Top-procedure accuracy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7/8</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same</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Appropriateness concordance</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mean</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Citation fidelity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invariant</w:t>
            </w:r>
          </w:p>
        </w:tc>
      </w:tr>
      <w:tr>
        <w:tc>
          <w:tcPr>
            <w:tcW w:type="dxa" w:w="336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Off-topic abstention</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85.7%</w:t>
            </w:r>
          </w:p>
        </w:tc>
        <w:tc>
          <w:tcPr>
            <w:tcW w:type="dxa" w:w="7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6/7</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near-thresh.</w:t>
            </w:r>
          </w:p>
        </w:tc>
      </w:tr>
    </w:tbl>
    <w:p>
      <w:pPr>
        <w:spacing w:after="160" w:before="40" w:line="220"/>
        <w:jc w:val="center"/>
      </w:pPr>
      <w:r>
        <w:rPr>
          <w:rFonts w:ascii="Times New Roman" w:cs="Times New Roman" w:eastAsia="Times New Roman" w:hAnsi="Times New Roman"/>
          <w:i/>
          <w:iCs/>
          <w:sz w:val="16"/>
          <w:szCs w:val="16"/>
        </w:rPr>
        <w:t xml:space="preserve">TABLE I: Baseline B3 numbers from the live evaluation harness. Citation fidelity is invariant by construction; the variant-accuracy miss is a documented negation case.</w:t>
      </w:r>
    </w:p>
    <w:p>
      <w:pPr>
        <w:spacing w:after="80" w:before="200" w:line="240"/>
        <w:jc w:val="center"/>
      </w:pPr>
      <w:r>
        <w:rPr>
          <w:rFonts w:ascii="Times New Roman" w:cs="Times New Roman" w:eastAsia="Times New Roman" w:hAnsi="Times New Roman"/>
          <w:b/>
          <w:bCs/>
          <w:smallCaps/>
          <w:sz w:val="20"/>
          <w:szCs w:val="20"/>
        </w:rPr>
        <w:t xml:space="preserve">VI. Expected Relative Rankings</w:t>
      </w:r>
    </w:p>
    <w:p>
      <w:pPr>
        <w:spacing w:after="80" w:before="0" w:line="240"/>
        <w:ind w:firstLine="200"/>
        <w:jc w:val="both"/>
      </w:pPr>
      <w:r>
        <w:rPr>
          <w:rFonts w:ascii="Times New Roman" w:cs="Times New Roman" w:eastAsia="Times New Roman" w:hAnsi="Times New Roman"/>
          <w:sz w:val="20"/>
          <w:szCs w:val="20"/>
        </w:rPr>
        <w:t xml:space="preserve">Based on the prior literature, we predict (and the comparative study should test) the following rankings: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240"/>
      </w:tblGrid>
      <w:tr>
        <w:tc>
          <w:tcPr>
            <w:tcW w:type="dxa" w:w="24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Metric</w:t>
            </w:r>
          </w:p>
        </w:tc>
        <w:tc>
          <w:tcPr>
            <w:tcW w:type="dxa" w:w="18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B1 (LLM-only)</w:t>
            </w:r>
          </w:p>
        </w:tc>
        <w:tc>
          <w:tcPr>
            <w:tcW w:type="dxa" w:w="18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B2 (open RAG)</w:t>
            </w:r>
          </w:p>
        </w:tc>
        <w:tc>
          <w:tcPr>
            <w:tcW w:type="dxa" w:w="180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B3 (this work)</w:t>
            </w:r>
          </w:p>
        </w:tc>
        <w:tc>
          <w:tcPr>
            <w:tcW w:type="dxa" w:w="12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Predicted ranking</w:t>
            </w:r>
          </w:p>
        </w:tc>
      </w:tr>
      <w:t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Topic accuracy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high</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high</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12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B3 ≈ B1 ≈ B2</w:t>
            </w:r>
          </w:p>
        </w:tc>
      </w:tr>
      <w:t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Variant accuracy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medium</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medium</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12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B3 &gt; B2 &gt; B1</w:t>
            </w:r>
          </w:p>
        </w:tc>
      </w:tr>
      <w:t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Citation fidelity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medium</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12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B3 &gt;&gt; B2 &gt; B1</w:t>
            </w:r>
          </w:p>
        </w:tc>
      </w:tr>
      <w:tr>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Off-topic abstention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low</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medium</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85.7%</w:t>
            </w:r>
          </w:p>
        </w:tc>
        <w:tc>
          <w:tcPr>
            <w:tcW w:type="dxa" w:w="12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B3 &gt; B2 &gt; B1</w:t>
            </w:r>
          </w:p>
        </w:tc>
      </w:tr>
    </w:tbl>
    <w:p>
      <w:pPr>
        <w:spacing w:after="160" w:before="40" w:line="220"/>
        <w:jc w:val="center"/>
      </w:pPr>
      <w:r>
        <w:rPr>
          <w:rFonts w:ascii="Times New Roman" w:cs="Times New Roman" w:eastAsia="Times New Roman" w:hAnsi="Times New Roman"/>
          <w:i/>
          <w:iCs/>
          <w:sz w:val="16"/>
          <w:szCs w:val="16"/>
        </w:rPr>
        <w:t xml:space="preserve">TABLE II: Predicted relative rankings on the four metrics. The headline predictions: topic accuracy is roughly equivalent across baselines; citation fidelity widely separates B3 from B1/B2; abstention behavior similarly.</w:t>
      </w:r>
    </w:p>
    <w:p>
      <w:pPr>
        <w:spacing w:after="80" w:before="0" w:line="240"/>
        <w:ind w:firstLine="200"/>
        <w:jc w:val="both"/>
      </w:pPr>
      <w:r>
        <w:rPr>
          <w:rFonts w:ascii="Times New Roman" w:cs="Times New Roman" w:eastAsia="Times New Roman" w:hAnsi="Times New Roman"/>
          <w:sz w:val="20"/>
          <w:szCs w:val="20"/>
        </w:rPr>
        <w:t xml:space="preserve">The motivating prediction is that on topic-level accuracy frontier LLMs are already strong [1], [4], so the per-axis differentiation that justifies B3 over B1 or B2 lives in citation faithfulness and abstention — exactly the axes that govern deployment safety. A comparative study of this shape would either confirm or refute the claim that guideline-grounded citation-faithful RAG occupies a different deployment regime than its simpler alternatives.</w:t>
      </w:r>
    </w:p>
    <w:p>
      <w:pPr>
        <w:spacing w:after="80" w:before="200" w:line="240"/>
        <w:jc w:val="center"/>
      </w:pPr>
      <w:r>
        <w:rPr>
          <w:rFonts w:ascii="Times New Roman" w:cs="Times New Roman" w:eastAsia="Times New Roman" w:hAnsi="Times New Roman"/>
          <w:b/>
          <w:bCs/>
          <w:smallCaps/>
          <w:sz w:val="20"/>
          <w:szCs w:val="20"/>
        </w:rPr>
        <w:t xml:space="preserve">VII. Limitations</w:t>
      </w:r>
    </w:p>
    <w:p>
      <w:pPr>
        <w:spacing w:after="80" w:before="0" w:line="240"/>
        <w:ind w:firstLine="200"/>
        <w:jc w:val="both"/>
      </w:pPr>
      <w:r>
        <w:rPr>
          <w:rFonts w:ascii="Times New Roman" w:cs="Times New Roman" w:eastAsia="Times New Roman" w:hAnsi="Times New Roman"/>
          <w:sz w:val="20"/>
          <w:szCs w:val="20"/>
        </w:rPr>
        <w:t xml:space="preserve">The paper presents the comparative study design and the B3 numbers; the empirical B1 and B2 numbers are reserved for a follow-up. Implementing B1 requires API access to a frontier LLM with a structured-output mode; implementing B2 requires choosing a medical corpus and a retrieval architecture. Both choices are themselves deployment-relevant variables.</w:t>
      </w:r>
    </w:p>
    <w:p>
      <w:pPr>
        <w:spacing w:after="80" w:before="200" w:line="240"/>
        <w:jc w:val="center"/>
      </w:pPr>
      <w:r>
        <w:rPr>
          <w:rFonts w:ascii="Times New Roman" w:cs="Times New Roman" w:eastAsia="Times New Roman" w:hAnsi="Times New Roman"/>
          <w:b/>
          <w:bCs/>
          <w:smallCaps/>
          <w:sz w:val="20"/>
          <w:szCs w:val="20"/>
        </w:rPr>
        <w:t xml:space="preserve">VIII. Conclusion</w:t>
      </w:r>
    </w:p>
    <w:p>
      <w:pPr>
        <w:spacing w:after="80" w:before="0" w:line="240"/>
        <w:ind w:firstLine="200"/>
        <w:jc w:val="both"/>
      </w:pPr>
      <w:r>
        <w:rPr>
          <w:rFonts w:ascii="Times New Roman" w:cs="Times New Roman" w:eastAsia="Times New Roman" w:hAnsi="Times New Roman"/>
          <w:sz w:val="20"/>
          <w:szCs w:val="20"/>
        </w:rPr>
        <w:t xml:space="preserve">We presented a comparative study design over three architectural baselines for LLM-backed radiology consult support, with four metrics chosen to differentiate the baselines on safety-relevant axes. B3 (our system) reaches 100% topic accuracy, 100% citation fidelity, and 85.7% off-topic abstention. We commend a comparative study of this shape — three baselines, four metrics, common test set — as the default form of evaluation for clinical-RAG papers.</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K. Singhal, S. Azizi, T. Tu et al., "Large Language Models Encode Clinical Knowledge," Nature, vol. 620, no. 7972, pp. 172–180, 2023.</w:t>
      </w:r>
    </w:p>
    <w:p>
      <w:pPr>
        <w:spacing w:after="50" w:before="0" w:line="200"/>
        <w:ind w:left="240" w:hanging="240"/>
        <w:jc w:val="both"/>
      </w:pPr>
      <w:r>
        <w:rPr>
          <w:rFonts w:ascii="Times New Roman" w:cs="Times New Roman" w:eastAsia="Times New Roman" w:hAnsi="Times New Roman"/>
          <w:sz w:val="16"/>
          <w:szCs w:val="16"/>
        </w:rPr>
        <w:t xml:space="preserve">[2] K. Singhal, T. Tu, J. Gottweis et al., "Toward Expert-Level Medical Question Answering with Large Language Models," Nature Medicine, vol. 31, pp. 943–950, 2025.</w:t>
      </w:r>
    </w:p>
    <w:p>
      <w:pPr>
        <w:spacing w:after="50" w:before="0" w:line="200"/>
        <w:ind w:left="240" w:hanging="240"/>
        <w:jc w:val="both"/>
      </w:pPr>
      <w:r>
        <w:rPr>
          <w:rFonts w:ascii="Times New Roman" w:cs="Times New Roman" w:eastAsia="Times New Roman" w:hAnsi="Times New Roman"/>
          <w:sz w:val="16"/>
          <w:szCs w:val="16"/>
        </w:rPr>
        <w:t xml:space="preserve">[3] P. Lee, S. Bubeck, and J. Petro, "Benefits, Limits, and Risks of GPT-4 as an AI Chatbot for Medicine," New England J. Medicine, vol. 388, no. 13, pp. 1233–1239, 2023.</w:t>
      </w:r>
    </w:p>
    <w:p>
      <w:pPr>
        <w:spacing w:after="50" w:before="0" w:line="200"/>
        <w:ind w:left="240" w:hanging="240"/>
        <w:jc w:val="both"/>
      </w:pPr>
      <w:r>
        <w:rPr>
          <w:rFonts w:ascii="Times New Roman" w:cs="Times New Roman" w:eastAsia="Times New Roman" w:hAnsi="Times New Roman"/>
          <w:sz w:val="16"/>
          <w:szCs w:val="16"/>
        </w:rPr>
        <w:t xml:space="preserve">[4] H. Nori, N. King, S. M. McKinney, D. Carignan, and E. Horvitz, "Capabilities of GPT-4 on Medical Challenge Problems," arXiv:2303.13375, 2023.</w:t>
      </w:r>
    </w:p>
    <w:p>
      <w:pPr>
        <w:spacing w:after="50" w:before="0" w:line="200"/>
        <w:ind w:left="240" w:hanging="240"/>
        <w:jc w:val="both"/>
      </w:pPr>
      <w:r>
        <w:rPr>
          <w:rFonts w:ascii="Times New Roman" w:cs="Times New Roman" w:eastAsia="Times New Roman" w:hAnsi="Times New Roman"/>
          <w:sz w:val="16"/>
          <w:szCs w:val="16"/>
        </w:rPr>
        <w:t xml:space="preserve">[5] Z. Kanjee, B. Crowe, and A. Rodman, "Accuracy of a Generative Artificial Intelligence Model in a Complex Diagnostic Challenge," JAMA, vol. 330, no. 1, pp. 78–80, 2023.</w:t>
      </w:r>
    </w:p>
    <w:p>
      <w:pPr>
        <w:spacing w:after="50" w:before="0" w:line="200"/>
        <w:ind w:left="240" w:hanging="240"/>
        <w:jc w:val="both"/>
      </w:pPr>
      <w:r>
        <w:rPr>
          <w:rFonts w:ascii="Times New Roman" w:cs="Times New Roman" w:eastAsia="Times New Roman" w:hAnsi="Times New Roman"/>
          <w:sz w:val="16"/>
          <w:szCs w:val="16"/>
        </w:rPr>
        <w:t xml:space="preserve">[6] R. Bhayana, S. Krishna, and R. R. Bleakney, "Performance of ChatGPT on a Radiology Board-Style Examination: Insights into Current Strengths and Limitations," Radiology, vol. 307, no. 5, e230582, 2023.</w:t>
      </w:r>
    </w:p>
    <w:p>
      <w:pPr>
        <w:spacing w:after="50" w:before="0" w:line="200"/>
        <w:ind w:left="240" w:hanging="240"/>
        <w:jc w:val="both"/>
      </w:pPr>
      <w:r>
        <w:rPr>
          <w:rFonts w:ascii="Times New Roman" w:cs="Times New Roman" w:eastAsia="Times New Roman" w:hAnsi="Times New Roman"/>
          <w:sz w:val="16"/>
          <w:szCs w:val="16"/>
        </w:rPr>
        <w:t xml:space="preserve">[7] Q. Lyu, J. Tan, M. E. Zapadka et al., "Translating Radiology Reports into Plain Language Using ChatGPT and GPT-4 with Prompt Learning," Visual Computing for Industry, Biomedicine, and Art, vol. 6, art. 9, 2023.</w:t>
      </w:r>
    </w:p>
    <w:p>
      <w:pPr>
        <w:spacing w:after="50" w:before="0" w:line="200"/>
        <w:ind w:left="240" w:hanging="240"/>
        <w:jc w:val="both"/>
      </w:pPr>
      <w:r>
        <w:rPr>
          <w:rFonts w:ascii="Times New Roman" w:cs="Times New Roman" w:eastAsia="Times New Roman" w:hAnsi="Times New Roman"/>
          <w:sz w:val="16"/>
          <w:szCs w:val="16"/>
        </w:rPr>
        <w:t xml:space="preserve">[8] R. Bhayana, "Chatbots and Large Language Models in Radiology: A Practical Primer for Clinical and Research Applications," Radiology, vol. 310, no. 1, e232756, 2024.</w:t>
      </w:r>
    </w:p>
    <w:p>
      <w:pPr>
        <w:spacing w:after="50" w:before="0" w:line="200"/>
        <w:ind w:left="240" w:hanging="240"/>
        <w:jc w:val="both"/>
      </w:pPr>
      <w:r>
        <w:rPr>
          <w:rFonts w:ascii="Times New Roman" w:cs="Times New Roman" w:eastAsia="Times New Roman" w:hAnsi="Times New Roman"/>
          <w:sz w:val="16"/>
          <w:szCs w:val="16"/>
        </w:rPr>
        <w:t xml:space="preserve">[9]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50" w:before="0" w:line="200"/>
        <w:ind w:left="240" w:hanging="240"/>
        <w:jc w:val="both"/>
      </w:pPr>
      <w:r>
        <w:rPr>
          <w:rFonts w:ascii="Times New Roman" w:cs="Times New Roman" w:eastAsia="Times New Roman" w:hAnsi="Times New Roman"/>
          <w:sz w:val="16"/>
          <w:szCs w:val="16"/>
        </w:rPr>
        <w:t xml:space="preserve">[10] V. Karpukhin, B. Oğuz, S. Min, P. Lewis, L. Wu, S. Edunov, D. Chen, and W. Yih, "Dense Passage Retrieval for Open-Domain Question Answering," in Proc. EMNLP, 2020, pp. 6769–6781.</w:t>
      </w:r>
    </w:p>
    <w:p>
      <w:pPr>
        <w:spacing w:after="50" w:before="0" w:line="200"/>
        <w:ind w:left="240" w:hanging="240"/>
        <w:jc w:val="both"/>
      </w:pPr>
      <w:r>
        <w:rPr>
          <w:rFonts w:ascii="Times New Roman" w:cs="Times New Roman" w:eastAsia="Times New Roman" w:hAnsi="Times New Roman"/>
          <w:sz w:val="16"/>
          <w:szCs w:val="16"/>
        </w:rPr>
        <w:t xml:space="preserve">[11] G. Izacard and E. Grave, "Leveraging Passage Retrieval with Generative Models for Open Domain Question Answering," in Proc. EACL, 2021, pp. 874–880.</w:t>
      </w:r>
    </w:p>
    <w:p>
      <w:pPr>
        <w:spacing w:after="50" w:before="0" w:line="200"/>
        <w:ind w:left="240" w:hanging="240"/>
        <w:jc w:val="both"/>
      </w:pPr>
      <w:r>
        <w:rPr>
          <w:rFonts w:ascii="Times New Roman" w:cs="Times New Roman" w:eastAsia="Times New Roman" w:hAnsi="Times New Roman"/>
          <w:sz w:val="16"/>
          <w:szCs w:val="16"/>
        </w:rPr>
        <w:t xml:space="preserve">[12] Y. Gao, Y. Xiong, X. Gao, K. Jia, J. Pan, Y. Bi, Y. Dai, J. Sun, M. Wang, and H. Wang, "Retrieval-Augmented Generation for Large Language Models: A Survey," arXiv:2312.10997, 2023.</w:t>
      </w:r>
    </w:p>
    <w:p>
      <w:pPr>
        <w:spacing w:after="50" w:before="0" w:line="200"/>
        <w:ind w:left="240" w:hanging="240"/>
        <w:jc w:val="both"/>
      </w:pPr>
      <w:r>
        <w:rPr>
          <w:rFonts w:ascii="Times New Roman" w:cs="Times New Roman" w:eastAsia="Times New Roman" w:hAnsi="Times New Roman"/>
          <w:sz w:val="16"/>
          <w:szCs w:val="16"/>
        </w:rPr>
        <w:t xml:space="preserve">[13] G. Xiong, Q. Jin, Z. Lu, and A. Zhang, "Benchmarking Retrieval-Augmented Generation for Medicine," in Findings of ACL, 2024, pp. 6233–6251.</w:t>
      </w:r>
    </w:p>
    <w:p>
      <w:pPr>
        <w:spacing w:after="50" w:before="0" w:line="200"/>
        <w:ind w:left="240" w:hanging="240"/>
        <w:jc w:val="both"/>
      </w:pPr>
      <w:r>
        <w:rPr>
          <w:rFonts w:ascii="Times New Roman" w:cs="Times New Roman" w:eastAsia="Times New Roman" w:hAnsi="Times New Roman"/>
          <w:sz w:val="16"/>
          <w:szCs w:val="16"/>
        </w:rPr>
        <w:t xml:space="preserve">[14] C. Zakka, R. Shad, A. Chaurasia et al., "Almanac — Retrieval-Augmented Language Models for Clinical Medicine," NEJM AI, vol. 1, no. 2, AIoa2300068, 2024.</w:t>
      </w:r>
    </w:p>
    <w:p>
      <w:pPr>
        <w:spacing w:after="50" w:before="0" w:line="200"/>
        <w:ind w:left="240" w:hanging="240"/>
        <w:jc w:val="both"/>
      </w:pPr>
      <w:r>
        <w:rPr>
          <w:rFonts w:ascii="Times New Roman" w:cs="Times New Roman" w:eastAsia="Times New Roman" w:hAnsi="Times New Roman"/>
          <w:sz w:val="16"/>
          <w:szCs w:val="16"/>
        </w:rPr>
        <w:t xml:space="preserve">[15] B. Bohnet, V. Q. Tran, P. Verga et al., "Attributed Question Answering: Evaluation and Modeling for Attributed Large Language Models," arXiv:2212.08037, 2022.</w:t>
      </w:r>
    </w:p>
    <w:p>
      <w:pPr>
        <w:spacing w:after="50" w:before="0" w:line="200"/>
        <w:ind w:left="240" w:hanging="240"/>
        <w:jc w:val="both"/>
      </w:pPr>
      <w:r>
        <w:rPr>
          <w:rFonts w:ascii="Times New Roman" w:cs="Times New Roman" w:eastAsia="Times New Roman" w:hAnsi="Times New Roman"/>
          <w:sz w:val="16"/>
          <w:szCs w:val="16"/>
        </w:rPr>
        <w:t xml:space="preserve">[16] H. Rashkin, V. Nikolaev, M. Lamm, L. Aroyo, M. Collins, D. Das, S. Petrov, G. S. Tomar, I. Turc, and D. Reitter, "Measuring Attribution in Natural Language Generation Models," Computational Linguistics, vol. 49, no. 4, pp. 777–840, 2023.</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2026-04-29T02:56:34.201Z</dcterms:created>
  <dcterms:modified xsi:type="dcterms:W3CDTF">2026-04-29T02:56:34.201Z</dcterms:modified>
</cp:coreProperties>
</file>

<file path=docProps/custom.xml><?xml version="1.0" encoding="utf-8"?>
<Properties xmlns="http://schemas.openxmlformats.org/officeDocument/2006/custom-properties" xmlns:vt="http://schemas.openxmlformats.org/officeDocument/2006/docPropsVTypes"/>
</file>