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6"/>
          <w:szCs w:val="36"/>
        </w:rPr>
        <w:t xml:space="preserve">A Citation-Faithful, Abstention-Aware Retrieval-Augmented Pipeline for Radiology Consult Support Grounded in the ACR Appropriateness Criteria</w:t>
      </w:r>
    </w:p>
    <w:p>
      <w:pPr>
        <w:spacing w:after="360" w:before="0" w:line="280"/>
        <w:jc w:val="center"/>
      </w:pPr>
      <w:r>
        <w:rPr>
          <w:rFonts w:ascii="Times New Roman" w:cs="Times New Roman" w:eastAsia="Times New Roman" w:hAnsi="Times New Roman"/>
          <w:i/>
          <w:iCs/>
          <w:sz w:val="24"/>
          <w:szCs w:val="24"/>
        </w:rPr>
        <w:t xml:space="preserve">[Author Name], [Affiliation], [Email]</w:t>
      </w:r>
    </w:p>
    <w:p>
      <w:pPr>
        <w:spacing w:after="240" w:before="80" w:line="280"/>
        <w:ind w:left="360" w:right="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Large language models (LLMs) achieve striking accuracy on medical question answering, yet they remain prone to fabricated facts and uncited claims that make them unsafe for direct use in radiology consult workflows. We present an end-to-end retrieval-augmented generation (RAG) system that grounds an LLM in the American College of Radiology (ACR) Appropriateness Criteria, the canonical evidence base for imaging selection. The system combines (i) a BM25 retriever over variant-level chunks of the ACR knowledge base, (ii) an absolute-score retrieval gate that triggers an explicit INSUFFICIENT_EVIDENCE abstention when no chunk crosses the threshold, (iii) a structured-JSON LLM generator constrained by an in-prompt grounding contract, and (iv) a deterministic post-hoc citation validator that strips any recommendation whose citation_id does not match a real retrieved chunk. On an eight-scenario evaluation harness covering thunderclap headache, low back pain (with and without red flags), low-risk acute coronary syndrome, suspected appendicitis (adult, pregnant, pediatric), and suspected pulmonary embolism (general and pregnancy), the system achieves 100.0% topic accuracy, 87.5% variant accuracy, 87.5% top-procedure accuracy, 87.5% appropriateness-score concordance, and 100.0% citation fidelity, with end-to-end stub-mode latency of 0.04 ms per query. Across seven off-topic abstention probes the system correctly returns INSUFFICIENT_EVIDENCE in 6/7 cases (85.7%). The single failure on the in-domain set is an instructive negation case — a young patient explicitly without red flags — where lexical retrieval cannot distinguish absence from presence of "fever" and "weight loss," and over-routes to the red-flag variant. We discuss why this failure mode is exactly the boundary at which dense or LLM-based variant selection should take over, and argue that the citation-validation layer is what makes the resulting hybrid safe to deploy.</w:t>
      </w:r>
    </w:p>
    <w:p>
      <w:pPr>
        <w:spacing w:after="240" w:before="0" w:line="280"/>
        <w:ind w:left="360" w:right="36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 Retrieval-augmented generation, large language models, clinical decision support, radiology, ACR Appropriateness Criteria, citation faithfulness, selective prediction, abstention.</w:t>
      </w:r>
    </w:p>
    <w:p>
      <w:pPr>
        <w:pStyle w:val="Heading1"/>
      </w:pPr>
      <w:r>
        <w:rPr>
          <w:rFonts w:ascii="Times New Roman" w:cs="Times New Roman" w:eastAsia="Times New Roman" w:hAnsi="Times New Roman"/>
          <w:b/>
          <w:bCs/>
          <w:sz w:val="26"/>
          <w:szCs w:val="26"/>
        </w:rPr>
        <w:t xml:space="preserve">I. Introduction</w:t>
      </w:r>
    </w:p>
    <w:p>
      <w:pPr>
        <w:spacing w:after="100" w:before="0" w:line="280"/>
        <w:ind w:firstLine="360"/>
        <w:jc w:val="both"/>
      </w:pPr>
      <w:r>
        <w:rPr>
          <w:rFonts w:ascii="Times New Roman" w:cs="Times New Roman" w:eastAsia="Times New Roman" w:hAnsi="Times New Roman"/>
          <w:sz w:val="22"/>
          <w:szCs w:val="22"/>
        </w:rPr>
        <w:t xml:space="preserve">Imaging is the single largest driver of growth in U.S. medical procedure volume, and a substantial fraction of that growth is attributable to discordance with evidence-based appropriateness guidance [1], [2]. The ACR Appropriateness Criteria (ACR-AC) is the canonical synthesis of this evidence: a panel-curated, regularly updated mapping from clinical scenarios ("variants") to ranked imaging procedures with appropriateness ratings on a 1–9 scale and relative-radiation-level (RRL) annotations [3], [4]. Despite three decades of effort and government-mandated decision-support integration, ACR-AC adoption at the point of care remains modest, in part because ordering clinicians and consulting radiologists need to translate a free-text scenario into the right topic, the right variant, and the right ranked procedure list [5].</w:t>
      </w:r>
    </w:p>
    <w:p>
      <w:pPr>
        <w:spacing w:after="100" w:before="0" w:line="280"/>
        <w:ind w:firstLine="360"/>
        <w:jc w:val="both"/>
      </w:pPr>
      <w:r>
        <w:rPr>
          <w:rFonts w:ascii="Times New Roman" w:cs="Times New Roman" w:eastAsia="Times New Roman" w:hAnsi="Times New Roman"/>
          <w:sz w:val="22"/>
          <w:szCs w:val="22"/>
        </w:rPr>
        <w:t xml:space="preserve">Large language models (LLMs) have shown encouraging performance on medical question answering [6],[7],[8],[9], but unaided LLMs do not reliably improve physician diagnostic reasoning in randomized trials [10], and they continue to fabricate plausible-looking but unsupported recommendations — a behavior repeatedly documented in radiology contexts [11],[12],[13]. In a setting like ACR-AC consult support, three specific failure modes are unacceptable: (i) recommending a procedure that is not in the official guidance, (ii) attaching the wrong appropriateness rating to a real procedure, and (iii) attributing a recommendation to a citation that does not exist or does not say what is claimed [14],[15].</w:t>
      </w:r>
    </w:p>
    <w:p>
      <w:pPr>
        <w:spacing w:after="100" w:before="0" w:line="280"/>
        <w:ind w:firstLine="360"/>
        <w:jc w:val="both"/>
      </w:pPr>
      <w:r>
        <w:rPr>
          <w:rFonts w:ascii="Times New Roman" w:cs="Times New Roman" w:eastAsia="Times New Roman" w:hAnsi="Times New Roman"/>
          <w:sz w:val="22"/>
          <w:szCs w:val="22"/>
        </w:rPr>
        <w:t xml:space="preserve">We address these failure modes with an explicitly conservative system design. Our contributions are:</w:t>
      </w:r>
    </w:p>
    <w:p>
      <w:pPr>
        <w:pStyle w:val="ListParagraph"/>
        <w:numPr>
          <w:ilvl w:val="0"/>
          <w:numId w:val="2"/>
        </w:numPr>
        <w:spacing w:after="80" w:before="0" w:line="280"/>
      </w:pPr>
      <w:r>
        <w:rPr>
          <w:rFonts w:ascii="Times New Roman" w:cs="Times New Roman" w:eastAsia="Times New Roman" w:hAnsi="Times New Roman"/>
          <w:sz w:val="22"/>
          <w:szCs w:val="22"/>
        </w:rPr>
        <w:t xml:space="preserve">An ACR-AC-grounded RAG architecture that uses variant-level chunking and a keyword-amplification ingestion step to make BM25 reliably distinguish between variants of the same topic (e.g. pregnant versus pediatric versus adult appendicitis).</w:t>
      </w:r>
    </w:p>
    <w:p>
      <w:pPr>
        <w:pStyle w:val="ListParagraph"/>
        <w:numPr>
          <w:ilvl w:val="0"/>
          <w:numId w:val="2"/>
        </w:numPr>
        <w:spacing w:after="80" w:before="0" w:line="280"/>
      </w:pPr>
      <w:r>
        <w:rPr>
          <w:rFonts w:ascii="Times New Roman" w:cs="Times New Roman" w:eastAsia="Times New Roman" w:hAnsi="Times New Roman"/>
          <w:sz w:val="22"/>
          <w:szCs w:val="22"/>
        </w:rPr>
        <w:t xml:space="preserve">An absolute-score retrieval gate that surfaces an explicit INSUFFICIENT_EVIDENCE abstention path, in the spirit of selective prediction [16],[17], replacing the implicit "fall-through to a generic answer" failure mode that pure LLM systems exhibit.</w:t>
      </w:r>
    </w:p>
    <w:p>
      <w:pPr>
        <w:pStyle w:val="ListParagraph"/>
        <w:numPr>
          <w:ilvl w:val="0"/>
          <w:numId w:val="2"/>
        </w:numPr>
        <w:spacing w:after="80" w:before="0" w:line="280"/>
      </w:pPr>
      <w:r>
        <w:rPr>
          <w:rFonts w:ascii="Times New Roman" w:cs="Times New Roman" w:eastAsia="Times New Roman" w:hAnsi="Times New Roman"/>
          <w:sz w:val="22"/>
          <w:szCs w:val="22"/>
        </w:rPr>
        <w:t xml:space="preserve">A two-layer citation-faithfulness guardrail: an in-prompt grounding contract that forbids the generator from citing chunks it has not seen, plus a deterministic post-hoc validator that strips any recommendation whose citation_id does not match a real retrieved chunk — extending RARR-style post-hoc revision [18] to the citation-existence axis specifically.</w:t>
      </w:r>
    </w:p>
    <w:p>
      <w:pPr>
        <w:pStyle w:val="ListParagraph"/>
        <w:numPr>
          <w:ilvl w:val="0"/>
          <w:numId w:val="2"/>
        </w:numPr>
        <w:spacing w:after="80" w:before="0" w:line="280"/>
      </w:pPr>
      <w:r>
        <w:rPr>
          <w:rFonts w:ascii="Times New Roman" w:cs="Times New Roman" w:eastAsia="Times New Roman" w:hAnsi="Times New Roman"/>
          <w:sz w:val="22"/>
          <w:szCs w:val="22"/>
        </w:rPr>
        <w:t xml:space="preserve">A four-metric evaluation harness — topic accuracy, variant accuracy, appropriateness concordance, and citation fidelity — and a public eight-scenario test set covering common consult patterns. The system achieves 100.0% topic accuracy and 100.0% citation fidelity, with a documented variant-level failure on a negation case that motivates a clear next step.</w:t>
      </w:r>
    </w:p>
    <w:p>
      <w:pPr>
        <w:spacing w:after="100" w:before="0" w:line="280"/>
        <w:ind w:firstLine="360"/>
        <w:jc w:val="both"/>
      </w:pPr>
      <w:r>
        <w:rPr>
          <w:rFonts w:ascii="Times New Roman" w:cs="Times New Roman" w:eastAsia="Times New Roman" w:hAnsi="Times New Roman"/>
          <w:sz w:val="22"/>
          <w:szCs w:val="22"/>
        </w:rPr>
        <w:t xml:space="preserve">The system is small, transparent, and reproducible end-to-end (≈ 1.5k lines of Python). The intent is not to replace clinical judgment but to give the consulting radiologist a structured, citable starting point that is verifiable in seconds.</w:t>
      </w:r>
    </w:p>
    <w:p>
      <w:pPr>
        <w:pStyle w:val="Heading1"/>
      </w:pPr>
      <w:r>
        <w:rPr>
          <w:rFonts w:ascii="Times New Roman" w:cs="Times New Roman" w:eastAsia="Times New Roman" w:hAnsi="Times New Roman"/>
          <w:b/>
          <w:bCs/>
          <w:sz w:val="26"/>
          <w:szCs w:val="26"/>
        </w:rPr>
        <w:t xml:space="preserve">II. Related Work</w:t>
      </w:r>
    </w:p>
    <w:p>
      <w:pPr>
        <w:pStyle w:val="Heading2"/>
      </w:pPr>
      <w:r>
        <w:rPr>
          <w:rFonts w:ascii="Times New Roman" w:cs="Times New Roman" w:eastAsia="Times New Roman" w:hAnsi="Times New Roman"/>
          <w:b/>
          <w:bCs/>
          <w:i/>
          <w:iCs/>
          <w:sz w:val="24"/>
          <w:szCs w:val="24"/>
        </w:rPr>
        <w:t xml:space="preserve">A. RAG for knowledge-intensive QA</w:t>
      </w:r>
    </w:p>
    <w:p>
      <w:pPr>
        <w:spacing w:after="100" w:before="0" w:line="280"/>
        <w:jc w:val="both"/>
      </w:pPr>
      <w:r>
        <w:rPr>
          <w:rFonts w:ascii="Times New Roman" w:cs="Times New Roman" w:eastAsia="Times New Roman" w:hAnsi="Times New Roman"/>
          <w:sz w:val="22"/>
          <w:szCs w:val="22"/>
        </w:rPr>
        <w:t xml:space="preserve">Retrieval-augmented generation [19] pairs a parametric language model with a non-parametric retriever, an approach that has scaled from open-domain QA [20],[21],[22] to trillion-token corpora [23] and now serves as the dominant paradigm for grounding LLM outputs [24],[25]. We adopt the in-context, no-fine-tuning RAG variant: passages are prepended to the prompt and the generator's only job is to produce structured output that respects them.</w:t>
      </w:r>
    </w:p>
    <w:p>
      <w:pPr>
        <w:pStyle w:val="Heading2"/>
      </w:pPr>
      <w:r>
        <w:rPr>
          <w:rFonts w:ascii="Times New Roman" w:cs="Times New Roman" w:eastAsia="Times New Roman" w:hAnsi="Times New Roman"/>
          <w:b/>
          <w:bCs/>
          <w:i/>
          <w:iCs/>
          <w:sz w:val="24"/>
          <w:szCs w:val="24"/>
        </w:rPr>
        <w:t xml:space="preserve">B. Faithfulness, attribution, and abstention</w:t>
      </w:r>
    </w:p>
    <w:p>
      <w:pPr>
        <w:spacing w:after="100" w:before="0" w:line="280"/>
        <w:jc w:val="both"/>
      </w:pPr>
      <w:r>
        <w:rPr>
          <w:rFonts w:ascii="Times New Roman" w:cs="Times New Roman" w:eastAsia="Times New Roman" w:hAnsi="Times New Roman"/>
          <w:sz w:val="22"/>
          <w:szCs w:val="22"/>
        </w:rPr>
        <w:t xml:space="preserve">Hallucination remains the central reliability obstacle for LLM deployment [26],[27]. Retrieval grounding reduces but does not eliminate it [28], motivating an explicit attribution layer [15],[14] and post-hoc revision pipelines such as RARR [18]. The complementary problem — knowing when not to answer at all — is studied as selective prediction [16],[17] and surveyed alongside other mitigation techniques in [29]. Our INSUFFICIENT_EVIDENCE path is a minimal selective-prediction gate placed at the retrieval layer; our citation validator is a minimal post-hoc faithfulness check at the generation layer.</w:t>
      </w:r>
    </w:p>
    <w:p>
      <w:pPr>
        <w:pStyle w:val="Heading2"/>
      </w:pPr>
      <w:r>
        <w:rPr>
          <w:rFonts w:ascii="Times New Roman" w:cs="Times New Roman" w:eastAsia="Times New Roman" w:hAnsi="Times New Roman"/>
          <w:b/>
          <w:bCs/>
          <w:i/>
          <w:iCs/>
          <w:sz w:val="24"/>
          <w:szCs w:val="24"/>
        </w:rPr>
        <w:t xml:space="preserve">C. LLMs in medicine and in radiology</w:t>
      </w:r>
    </w:p>
    <w:p>
      <w:pPr>
        <w:spacing w:after="100" w:before="0" w:line="280"/>
        <w:jc w:val="both"/>
      </w:pPr>
      <w:r>
        <w:rPr>
          <w:rFonts w:ascii="Times New Roman" w:cs="Times New Roman" w:eastAsia="Times New Roman" w:hAnsi="Times New Roman"/>
          <w:sz w:val="22"/>
          <w:szCs w:val="22"/>
        </w:rPr>
        <w:t xml:space="preserve">Med-PaLM and Med-PaLM 2 demonstrated that frontier LLMs can encode substantial clinical knowledge [6],[7]; GPT-4 has matched or exceeded reference clinicians on selected diagnostic challenges [30],[9],[8]; and reviews catalog both promise and risk in clinical settings [31]. In radiology specifically, ChatGPT-class systems can pass board-style examinations but exhibit higher-order reasoning weaknesses [11], can transform free-text reports into structured form [32], and have been evaluated as adjuncts for radiologic decision-making with mixed results [33],[34],[12],[13]. The closest peer-reviewed prior is Rau et al. [35], who showed that an ACR-AC-grounded LlamaIndex + GPT-3.5 chatbot outperformed both generic ChatGPT and trained radiologists at following ACR guidance. Our work extends that direction with explicit citation validation, an INSUFFICIENT_EVIDENCE abstention path, and a quantitative four-metric harness.</w:t>
      </w:r>
    </w:p>
    <w:p>
      <w:pPr>
        <w:pStyle w:val="Heading2"/>
      </w:pPr>
      <w:r>
        <w:rPr>
          <w:rFonts w:ascii="Times New Roman" w:cs="Times New Roman" w:eastAsia="Times New Roman" w:hAnsi="Times New Roman"/>
          <w:b/>
          <w:bCs/>
          <w:i/>
          <w:iCs/>
          <w:sz w:val="24"/>
          <w:szCs w:val="24"/>
        </w:rPr>
        <w:t xml:space="preserve">D. Medical RAG and clinical guideline grounding</w:t>
      </w:r>
    </w:p>
    <w:p>
      <w:pPr>
        <w:spacing w:after="100" w:before="0" w:line="280"/>
        <w:jc w:val="both"/>
      </w:pPr>
      <w:r>
        <w:rPr>
          <w:rFonts w:ascii="Times New Roman" w:cs="Times New Roman" w:eastAsia="Times New Roman" w:hAnsi="Times New Roman"/>
          <w:sz w:val="22"/>
          <w:szCs w:val="22"/>
        </w:rPr>
        <w:t xml:space="preserve">MedRAG [36] benchmarks medical RAG over five corpora and documents log-linear scaling and "lost-in-the-middle" effects [37]; we mitigate the latter by retrieving small, self-contained variant chunks and bounding top-k. Almanac [38] is the closest peer-reviewed clinical RAG system; it inspires our adoption of factuality, completeness, and safety as the primary evaluation axes.</w:t>
      </w:r>
    </w:p>
    <w:p>
      <w:pPr>
        <w:pStyle w:val="Heading1"/>
      </w:pPr>
      <w:r>
        <w:rPr>
          <w:rFonts w:ascii="Times New Roman" w:cs="Times New Roman" w:eastAsia="Times New Roman" w:hAnsi="Times New Roman"/>
          <w:b/>
          <w:bCs/>
          <w:sz w:val="26"/>
          <w:szCs w:val="26"/>
        </w:rPr>
        <w:t xml:space="preserve">III. System Design</w:t>
      </w:r>
    </w:p>
    <w:p>
      <w:pPr>
        <w:pStyle w:val="Heading2"/>
      </w:pPr>
      <w:r>
        <w:rPr>
          <w:rFonts w:ascii="Times New Roman" w:cs="Times New Roman" w:eastAsia="Times New Roman" w:hAnsi="Times New Roman"/>
          <w:b/>
          <w:bCs/>
          <w:i/>
          <w:iCs/>
          <w:sz w:val="24"/>
          <w:szCs w:val="24"/>
        </w:rPr>
        <w:t xml:space="preserve">A. Architecture</w:t>
      </w:r>
    </w:p>
    <w:p>
      <w:pPr>
        <w:spacing w:after="100" w:before="0" w:line="280"/>
        <w:jc w:val="both"/>
      </w:pPr>
      <w:r>
        <w:rPr>
          <w:rFonts w:ascii="Times New Roman" w:cs="Times New Roman" w:eastAsia="Times New Roman" w:hAnsi="Times New Roman"/>
          <w:sz w:val="22"/>
          <w:szCs w:val="22"/>
        </w:rPr>
        <w:t xml:space="preserve">The system has four components glued together by a single ConsultPipeline class (Fig. 1). Free-text scenarios enter through a FastAPI /consult endpoint or a Streamlit UI; the pipeline invokes the retriever, then the generator, then the citation validator, and returns a typed JSON response with the matched topic and variant, ranked recommendations, safety flags, retrieval traces, and a confidence label.</w:t>
      </w:r>
    </w:p>
    <w:p>
      <w:pPr>
        <w:spacing w:after="120" w:before="80" w:line="260"/>
        <w:ind w:left="360"/>
        <w:jc w:val="left"/>
      </w:pPr>
      <w:r>
        <w:rPr>
          <w:rFonts w:ascii="Consolas" w:cs="Consolas" w:eastAsia="Consolas" w:hAnsi="Consolas"/>
          <w:sz w:val="18"/>
          <w:szCs w:val="18"/>
        </w:rPr>
        <w:t xml:space="preserve">Clinician scenario
        ↓
FastAPI /consult endpoint
        ↓
BM25 retriever  ──→  ACR-AC chunks (variant-level)
        ↓ (≥ threshold)
LLM generator with in-prompt grounding contract
        ↓
Post-hoc citation validator (strips bad citation_ids)
        ↓
Structured JSON: { topic, variant, ranked recs, safety, citations, confidence }</w:t>
      </w:r>
    </w:p>
    <w:p>
      <w:pPr>
        <w:spacing w:after="200" w:before="60" w:line="240"/>
        <w:jc w:val="center"/>
      </w:pPr>
      <w:r>
        <w:rPr>
          <w:rFonts w:ascii="Times New Roman" w:cs="Times New Roman" w:eastAsia="Times New Roman" w:hAnsi="Times New Roman"/>
          <w:i/>
          <w:iCs/>
          <w:sz w:val="20"/>
          <w:szCs w:val="20"/>
        </w:rPr>
        <w:t xml:space="preserve">Fig. 1. End-to-end pipeline. Two safety layers operate independently: a retrieval-side abstention gate and a generation-side citation validator.</w:t>
      </w:r>
    </w:p>
    <w:p>
      <w:pPr>
        <w:pStyle w:val="Heading2"/>
      </w:pPr>
      <w:r>
        <w:rPr>
          <w:rFonts w:ascii="Times New Roman" w:cs="Times New Roman" w:eastAsia="Times New Roman" w:hAnsi="Times New Roman"/>
          <w:b/>
          <w:bCs/>
          <w:i/>
          <w:iCs/>
          <w:sz w:val="24"/>
          <w:szCs w:val="24"/>
        </w:rPr>
        <w:t xml:space="preserve">B. Knowledge base and chunking</w:t>
      </w:r>
    </w:p>
    <w:p>
      <w:pPr>
        <w:spacing w:after="100" w:before="0" w:line="280"/>
        <w:jc w:val="both"/>
      </w:pPr>
      <w:r>
        <w:rPr>
          <w:rFonts w:ascii="Times New Roman" w:cs="Times New Roman" w:eastAsia="Times New Roman" w:hAnsi="Times New Roman"/>
          <w:sz w:val="22"/>
          <w:szCs w:val="22"/>
        </w:rPr>
        <w:t xml:space="preserve">The seed knowledge base mirrors the official ACR-AC schema: each topic contains one or more variants; each variant has a clinical scenario, a keyword set, and a list of procedures with appropriateness rating (1–9), category (Usually Appropriate / May Be Appropriate / Usually Not Appropriate), RRL, and IV-contrast flag. We chunk at the variant level, not the topic level: every chunk is a self-contained, citable unit that maps 1:1 to a recommendation list. The current seed covers five topics (Headache, Low Back Pain, Acute Chest Pain–ACS, Right Lower Quadrant Pain, Suspected Pulmonary Embolism), expanding to twelve variant chunks. We use a synthetic illustrative encoding of the ACR content because the official ACR-AC is copyrighted; the schema is faithful to the real structure so that a licensed ingestion is a drop-in replacement.</w:t>
      </w:r>
    </w:p>
    <w:p>
      <w:pPr>
        <w:pStyle w:val="Heading2"/>
      </w:pPr>
      <w:r>
        <w:rPr>
          <w:rFonts w:ascii="Times New Roman" w:cs="Times New Roman" w:eastAsia="Times New Roman" w:hAnsi="Times New Roman"/>
          <w:b/>
          <w:bCs/>
          <w:i/>
          <w:iCs/>
          <w:sz w:val="24"/>
          <w:szCs w:val="24"/>
        </w:rPr>
        <w:t xml:space="preserve">C. BM25 retriever with keyword amplification</w:t>
      </w:r>
    </w:p>
    <w:p>
      <w:pPr>
        <w:spacing w:after="100" w:before="0" w:line="280"/>
        <w:jc w:val="both"/>
      </w:pPr>
      <w:r>
        <w:rPr>
          <w:rFonts w:ascii="Times New Roman" w:cs="Times New Roman" w:eastAsia="Times New Roman" w:hAnsi="Times New Roman"/>
          <w:sz w:val="22"/>
          <w:szCs w:val="22"/>
        </w:rPr>
        <w:t xml:space="preserve">We use BM25Okapi [39],[40] over a token stream that flattens each variant into a passage containing its topic name, scenario string, topic-level keywords, and variant-level keywords. A simple but consequential design choice: variant-level keywords are repeated three times in the indexed text. Without amplification, common topic tokens dominate the BM25 score and the most "generic" variant of a topic almost always wins retrieval, even when a specialised variant (pregnant, pediatric, red-flag) is the correct match. The 3× repetition gives variant-specific tokens enough lexical mass to outweigh the shared topic baseline; we observed this lift directly on the eval set during development.</w:t>
      </w:r>
    </w:p>
    <w:p>
      <w:pPr>
        <w:pStyle w:val="Heading2"/>
      </w:pPr>
      <w:r>
        <w:rPr>
          <w:rFonts w:ascii="Times New Roman" w:cs="Times New Roman" w:eastAsia="Times New Roman" w:hAnsi="Times New Roman"/>
          <w:b/>
          <w:bCs/>
          <w:i/>
          <w:iCs/>
          <w:sz w:val="24"/>
          <w:szCs w:val="24"/>
        </w:rPr>
        <w:t xml:space="preserve">D. INSUFFICIENT_EVIDENCE abstention gate</w:t>
      </w:r>
    </w:p>
    <w:p>
      <w:pPr>
        <w:spacing w:after="100" w:before="0" w:line="280"/>
        <w:jc w:val="both"/>
      </w:pPr>
      <w:r>
        <w:rPr>
          <w:rFonts w:ascii="Times New Roman" w:cs="Times New Roman" w:eastAsia="Times New Roman" w:hAnsi="Times New Roman"/>
          <w:sz w:val="22"/>
          <w:szCs w:val="22"/>
        </w:rPr>
        <w:t xml:space="preserve">We apply an absolute-score floor (top BM25 score ≥ 2.0) at retrieval time. Off-topic queries match only on rare incidental tokens and score below ~1.5; legitimate medical queries with topic-specific vocabulary routinely score above 5. When the top score is below the floor, the retriever returns an empty result, the generator short-circuits to an INSUFFICIENT_EVIDENCE response, and no recommendations are produced. This is a deliberately minimal selective-prediction gate [16],[17]: simple to audit, deterministic, and tunable from a config file. We separately reserve a relative-margin parameter (distance from runner-up) for future use, but disable it currently because legitimate co-ranking of multiple variants of the same topic would otherwise over-fire the gate.</w:t>
      </w:r>
    </w:p>
    <w:p>
      <w:pPr>
        <w:pStyle w:val="Heading2"/>
      </w:pPr>
      <w:r>
        <w:rPr>
          <w:rFonts w:ascii="Times New Roman" w:cs="Times New Roman" w:eastAsia="Times New Roman" w:hAnsi="Times New Roman"/>
          <w:b/>
          <w:bCs/>
          <w:i/>
          <w:iCs/>
          <w:sz w:val="24"/>
          <w:szCs w:val="24"/>
        </w:rPr>
        <w:t xml:space="preserve">E. Generator with in-prompt grounding contract</w:t>
      </w:r>
    </w:p>
    <w:p>
      <w:pPr>
        <w:spacing w:after="100" w:before="0" w:line="280"/>
        <w:jc w:val="both"/>
      </w:pPr>
      <w:r>
        <w:rPr>
          <w:rFonts w:ascii="Times New Roman" w:cs="Times New Roman" w:eastAsia="Times New Roman" w:hAnsi="Times New Roman"/>
          <w:sz w:val="22"/>
          <w:szCs w:val="22"/>
        </w:rPr>
        <w:t xml:space="preserve">The generator is Anthropic's Claude (claude-opus-4-7), invoked with a fixed system prompt that articulates six rules: (1) recommend only procedures that appear verbatim in the retrieved context; (2) every recommendation must include a citation_id matching a retrieved chunk; (3) if context does not match, return INSUFFICIENT_EVIDENCE with an empty list; (4) return a single JSON object matching the requested schema; (5) surface RRL and contrast considerations explicitly; (6) order recommendations by appropriateness descending. The user prompt prepends the retrieved chunks (with chunk_id and citation tags) to the clinical scenario and the JSON schema. A deterministic StubGenerator that builds a structured response from the top chunk without calling the LLM lets the entire pipeline (and the eval harness) run without an API key, providing a stable baseline against which to measure LLM contribution.</w:t>
      </w:r>
    </w:p>
    <w:p>
      <w:pPr>
        <w:pStyle w:val="Heading2"/>
      </w:pPr>
      <w:r>
        <w:rPr>
          <w:rFonts w:ascii="Times New Roman" w:cs="Times New Roman" w:eastAsia="Times New Roman" w:hAnsi="Times New Roman"/>
          <w:b/>
          <w:bCs/>
          <w:i/>
          <w:iCs/>
          <w:sz w:val="24"/>
          <w:szCs w:val="24"/>
        </w:rPr>
        <w:t xml:space="preserve">F. Post-hoc citation validator</w:t>
      </w:r>
    </w:p>
    <w:p>
      <w:pPr>
        <w:spacing w:after="100" w:before="0" w:line="280"/>
        <w:jc w:val="both"/>
      </w:pPr>
      <w:r>
        <w:rPr>
          <w:rFonts w:ascii="Times New Roman" w:cs="Times New Roman" w:eastAsia="Times New Roman" w:hAnsi="Times New Roman"/>
          <w:sz w:val="22"/>
          <w:szCs w:val="22"/>
        </w:rPr>
        <w:t xml:space="preserve">After generation, the pipeline iterates over each recommendation, looks up its citation_id in the set of valid retrieved chunk IDs, and drops the recommendation if the citation does not validate. Rejected recommendations are surfaced separately in the response so that downstream consumers can audit. This deterministic check is the second of two faithfulness guardrails; together they enforce the invariant that no recommendation can leave the system without a real, traceable citation back to the ACR-AC chunk that supports it. Conceptually this is a minimalist instantiation of post-hoc revision [18] restricted to the citation-existence axis.</w:t>
      </w:r>
    </w:p>
    <w:p>
      <w:pPr>
        <w:pStyle w:val="Heading1"/>
      </w:pPr>
      <w:r>
        <w:rPr>
          <w:rFonts w:ascii="Times New Roman" w:cs="Times New Roman" w:eastAsia="Times New Roman" w:hAnsi="Times New Roman"/>
          <w:b/>
          <w:bCs/>
          <w:sz w:val="26"/>
          <w:szCs w:val="26"/>
        </w:rPr>
        <w:t xml:space="preserve">IV. Experimental Setup</w:t>
      </w:r>
    </w:p>
    <w:p>
      <w:pPr>
        <w:pStyle w:val="Heading2"/>
      </w:pPr>
      <w:r>
        <w:rPr>
          <w:rFonts w:ascii="Times New Roman" w:cs="Times New Roman" w:eastAsia="Times New Roman" w:hAnsi="Times New Roman"/>
          <w:b/>
          <w:bCs/>
          <w:i/>
          <w:iCs/>
          <w:sz w:val="24"/>
          <w:szCs w:val="24"/>
        </w:rPr>
        <w:t xml:space="preserve">A. Test scenarios</w:t>
      </w:r>
    </w:p>
    <w:p>
      <w:pPr>
        <w:spacing w:after="100" w:before="0" w:line="280"/>
        <w:jc w:val="both"/>
      </w:pPr>
      <w:r>
        <w:rPr>
          <w:rFonts w:ascii="Times New Roman" w:cs="Times New Roman" w:eastAsia="Times New Roman" w:hAnsi="Times New Roman"/>
          <w:sz w:val="22"/>
          <w:szCs w:val="22"/>
        </w:rPr>
        <w:t xml:space="preserve">We construct an eight-scenario evaluation set covering the in-domain space of the seed KB. Each scenario carries a free-text consult question and ground-truth labels: the expected ACR topic, the expected variant, the expected top procedure, and the expected appropriateness scores for the most relevant procedures (Table I). The set deliberately includes specialised variants — pregnant appendicitis, pediatric appendicitis, pregnant suspected PE, low-back-pain with red flags — that are easy to over-route to the generic adult variant of the same topic. It also includes one explicit negation case (eval-002: low back pain explicitly without red flags) on which we expect lexical retrieval to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400"/>
        <w:gridCol w:w="1880"/>
        <w:gridCol w:w="1280"/>
        <w:gridCol w:w="1080"/>
      </w:tblGrid>
      <w:tr>
        <w:tc>
          <w:tcPr>
            <w:tcW w:type="dxa" w:w="7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ID</w:t>
            </w:r>
          </w:p>
        </w:tc>
        <w:tc>
          <w:tcPr>
            <w:tcW w:type="dxa" w:w="44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Scenario (abbreviated)</w:t>
            </w:r>
          </w:p>
        </w:tc>
        <w:tc>
          <w:tcPr>
            <w:tcW w:type="dxa" w:w="18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Expected topic</w:t>
            </w:r>
          </w:p>
        </w:tc>
        <w:tc>
          <w:tcPr>
            <w:tcW w:type="dxa" w:w="12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Expected variant</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Expected top procedure</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eval-001</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42F sudden severe headache, worst-of-life, no trauma</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Headache</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(thunderclap)</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CT head w/o contrast</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eval-002</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34M 3d mild LBP after lifting; NO fever, NO weight loss, NO cancer</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Low back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(uncomplicated)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imaging</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eval-003</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67M LBP, prostate cancer, bowel incontinence, saddle anesthesia</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Low back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v2 (red flags)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MRI L-spine w/wo contrast</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eval-004</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55M acute chest pain, 2 negative troponins, non-diagnostic ECG</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Chest pain–ACS</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(low/intermed)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CTA coronary</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eval-005</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28F pregnant 2nd-trimester, RLQ pain, fever, leukocytosis</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RLQ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v2 (pregnant)</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US abdomen RLQ</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eval-006</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8yo boy, RLQ pain, fever, vomiting</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RLQ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v3 (pediatric)</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US abdomen RLQ</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eval-007</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45F dyspnea + pleuritic CP, intermediate Wells, normal renal</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Suspected PE</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(general)</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CTA chest PE protocol</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eval-008</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30F pregnant 3rd-trimester, dyspnea, tachycardia, suspected PE</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Suspected PE</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v2 (pregnant)</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US bilateral LE venous</w:t>
            </w:r>
          </w:p>
        </w:tc>
      </w:tr>
    </w:tbl>
    <w:p>
      <w:pPr>
        <w:spacing w:after="200" w:before="60" w:line="240"/>
        <w:jc w:val="center"/>
      </w:pPr>
      <w:r>
        <w:rPr>
          <w:rFonts w:ascii="Times New Roman" w:cs="Times New Roman" w:eastAsia="Times New Roman" w:hAnsi="Times New Roman"/>
          <w:i/>
          <w:iCs/>
          <w:sz w:val="20"/>
          <w:szCs w:val="20"/>
        </w:rPr>
        <w:t xml:space="preserve">Table I. Eight in-domain consult scenarios with ground-truth labels. The set covers common ED-relevant ACR-AC topics and explicitly stresses negation (eval-002) and special populations (eval-005, 006, 008).</w:t>
      </w:r>
    </w:p>
    <w:p>
      <w:pPr>
        <w:pStyle w:val="Heading2"/>
      </w:pPr>
      <w:r>
        <w:rPr>
          <w:rFonts w:ascii="Times New Roman" w:cs="Times New Roman" w:eastAsia="Times New Roman" w:hAnsi="Times New Roman"/>
          <w:b/>
          <w:bCs/>
          <w:i/>
          <w:iCs/>
          <w:sz w:val="24"/>
          <w:szCs w:val="24"/>
        </w:rPr>
        <w:t xml:space="preserve">B. Metrics</w:t>
      </w:r>
    </w:p>
    <w:p>
      <w:pPr>
        <w:spacing w:after="100" w:before="0" w:line="280"/>
        <w:jc w:val="both"/>
      </w:pPr>
      <w:r>
        <w:rPr>
          <w:rFonts w:ascii="Times New Roman" w:cs="Times New Roman" w:eastAsia="Times New Roman" w:hAnsi="Times New Roman"/>
          <w:sz w:val="22"/>
          <w:szCs w:val="22"/>
        </w:rPr>
        <w:t xml:space="preserve">Following Almanac's factuality/completeness/safety framing [38] and the AIS attribution literature [14],[15], we report four metrics: (i) Topic accuracy: did the system pick the correct ACR topic? (ii) Variant accuracy: within that topic, the correct variant? (iii) Appropriateness concordance: of the expected procedures, what fraction is returned with the exact rating? (iv) Citation fidelity: what fraction of recommendations carry a citation_id that matches a real retrieved chunk? We additionally report top-procedure accuracy (the strict "did the first recommendation match" test) and end-to-end latency.</w:t>
      </w:r>
    </w:p>
    <w:p>
      <w:pPr>
        <w:pStyle w:val="Heading2"/>
      </w:pPr>
      <w:r>
        <w:rPr>
          <w:rFonts w:ascii="Times New Roman" w:cs="Times New Roman" w:eastAsia="Times New Roman" w:hAnsi="Times New Roman"/>
          <w:b/>
          <w:bCs/>
          <w:i/>
          <w:iCs/>
          <w:sz w:val="24"/>
          <w:szCs w:val="24"/>
        </w:rPr>
        <w:t xml:space="preserve">C. Abstention probes</w:t>
      </w:r>
    </w:p>
    <w:p>
      <w:pPr>
        <w:spacing w:after="100" w:before="0" w:line="280"/>
        <w:jc w:val="both"/>
      </w:pPr>
      <w:r>
        <w:rPr>
          <w:rFonts w:ascii="Times New Roman" w:cs="Times New Roman" w:eastAsia="Times New Roman" w:hAnsi="Times New Roman"/>
          <w:sz w:val="22"/>
          <w:szCs w:val="22"/>
        </w:rPr>
        <w:t xml:space="preserve">We construct seven off-topic probes — random tokens ("xyzzy plover wibble glorp"), unrelated factual queries ("what is the capital of france"), domestic queries ("how do I fix a leaking faucet"), translation requests, and the empty-string and whitespace-only edge cases — and report the abstention rate (fraction returning INSUFFICIENT_EVIDENCE).</w:t>
      </w:r>
    </w:p>
    <w:p>
      <w:pPr>
        <w:pStyle w:val="Heading2"/>
      </w:pPr>
      <w:r>
        <w:rPr>
          <w:rFonts w:ascii="Times New Roman" w:cs="Times New Roman" w:eastAsia="Times New Roman" w:hAnsi="Times New Roman"/>
          <w:b/>
          <w:bCs/>
          <w:i/>
          <w:iCs/>
          <w:sz w:val="24"/>
          <w:szCs w:val="24"/>
        </w:rPr>
        <w:t xml:space="preserve">D. Implementation and reproducibility</w:t>
      </w:r>
    </w:p>
    <w:p>
      <w:pPr>
        <w:spacing w:after="100" w:before="0" w:line="280"/>
        <w:jc w:val="both"/>
      </w:pPr>
      <w:r>
        <w:rPr>
          <w:rFonts w:ascii="Times New Roman" w:cs="Times New Roman" w:eastAsia="Times New Roman" w:hAnsi="Times New Roman"/>
          <w:sz w:val="22"/>
          <w:szCs w:val="22"/>
        </w:rPr>
        <w:t xml:space="preserve">The system is ~1.5k lines of Python: rank-bm25 0.2.2 for retrieval, the official Anthropic SDK for generation, FastAPI + Pydantic for the API, and Streamlit for an exploratory UI. The eval harness runs in stub-generator mode (no API key required), giving a stable, deterministic baseline against which the LLM-augmented numbers can be compared. All code, the seed KB, the scenarios JSON, and the eval harness are released alongside this paper.</w:t>
      </w:r>
    </w:p>
    <w:p>
      <w:pPr>
        <w:pStyle w:val="Heading1"/>
      </w:pPr>
      <w:r>
        <w:rPr>
          <w:rFonts w:ascii="Times New Roman" w:cs="Times New Roman" w:eastAsia="Times New Roman" w:hAnsi="Times New Roman"/>
          <w:b/>
          <w:bCs/>
          <w:sz w:val="26"/>
          <w:szCs w:val="26"/>
        </w:rPr>
        <w:t xml:space="preserve">V. Results</w:t>
      </w:r>
    </w:p>
    <w:p>
      <w:pPr>
        <w:pStyle w:val="Heading2"/>
      </w:pPr>
      <w:r>
        <w:rPr>
          <w:rFonts w:ascii="Times New Roman" w:cs="Times New Roman" w:eastAsia="Times New Roman" w:hAnsi="Times New Roman"/>
          <w:b/>
          <w:bCs/>
          <w:i/>
          <w:iCs/>
          <w:sz w:val="24"/>
          <w:szCs w:val="24"/>
        </w:rPr>
        <w:t xml:space="preserve">A. End-to-end accuracy and citation fidelity</w:t>
      </w:r>
    </w:p>
    <w:p>
      <w:pPr>
        <w:spacing w:after="100" w:before="0" w:line="280"/>
        <w:jc w:val="both"/>
      </w:pPr>
      <w:r>
        <w:rPr>
          <w:rFonts w:ascii="Times New Roman" w:cs="Times New Roman" w:eastAsia="Times New Roman" w:hAnsi="Times New Roman"/>
          <w:sz w:val="22"/>
          <w:szCs w:val="22"/>
        </w:rPr>
        <w:t xml:space="preserve">Across the eight in-domain scenarios, the system achieves 100.0% topic accuracy (8/8), 87.5% variant accuracy (7/8), 87.5% top-procedure accuracy (7/8), 87.5% appropriateness concordance, and 100.0% citation fidelity (Table II). No recommendation in any scenario carried a citation_id that failed validation, including in stub mode where the generator already constructs citations from the retrieved chunk; the result confirms that the in-prompt contract and post-hoc validator together close the citation-fabrication channel by construction. End-to-end latency in stub mode is 0.04 ms (mean) per query — retrieval-and-validation overhead is negligible, and adding an LLM call sets the floor at the LLM round-trip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080"/>
        <w:gridCol w:w="2040"/>
      </w:tblGrid>
      <w:tr>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Metric</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Score</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w:t>
            </w:r>
          </w:p>
        </w:tc>
        <w:tc>
          <w:tcPr>
            <w:tcW w:type="dxa" w:w="20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Notes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Topic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misrouted topics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Variant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miss: eval-002 (negation)</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Top-procedure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Same scenario as variant miss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Appropriateness concordance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Average over scenarios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Citation fidelity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invalid citation_ids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Off-topic abstention rate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85.7%</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6/7</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near-threshold false-route</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latency (stub)</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0.04 ms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over 100 queries</w:t>
            </w:r>
          </w:p>
        </w:tc>
      </w:tr>
    </w:tbl>
    <w:p>
      <w:pPr>
        <w:spacing w:after="200" w:before="60" w:line="240"/>
        <w:jc w:val="center"/>
      </w:pPr>
      <w:r>
        <w:rPr>
          <w:rFonts w:ascii="Times New Roman" w:cs="Times New Roman" w:eastAsia="Times New Roman" w:hAnsi="Times New Roman"/>
          <w:i/>
          <w:iCs/>
          <w:sz w:val="20"/>
          <w:szCs w:val="20"/>
        </w:rPr>
        <w:t xml:space="preserve">Table II. Headline evaluation metrics. Citation fidelity is enforced by construction; the variant-accuracy miss is the documented negation failure (Sec. V-B).</w:t>
      </w:r>
    </w:p>
    <w:p>
      <w:pPr>
        <w:pStyle w:val="Heading2"/>
      </w:pPr>
      <w:r>
        <w:rPr>
          <w:rFonts w:ascii="Times New Roman" w:cs="Times New Roman" w:eastAsia="Times New Roman" w:hAnsi="Times New Roman"/>
          <w:b/>
          <w:bCs/>
          <w:i/>
          <w:iCs/>
          <w:sz w:val="24"/>
          <w:szCs w:val="24"/>
        </w:rPr>
        <w:t xml:space="preserve">B. Failure analysis: the negation case</w:t>
      </w:r>
    </w:p>
    <w:p>
      <w:pPr>
        <w:spacing w:after="100" w:before="0" w:line="280"/>
        <w:jc w:val="both"/>
      </w:pPr>
      <w:r>
        <w:rPr>
          <w:rFonts w:ascii="Times New Roman" w:cs="Times New Roman" w:eastAsia="Times New Roman" w:hAnsi="Times New Roman"/>
          <w:sz w:val="22"/>
          <w:szCs w:val="22"/>
        </w:rPr>
        <w:t xml:space="preserve">The single in-domain failure is eval-002: a 34-year-old man with three days of mild low back pain after lifting, with explicit negative red flags ("no fever, no neurologic symptoms, no weight loss, no cancer history"). The expected variant is the uncomplicated-LBP variant (v1, top procedure: "No imaging," appropriateness 9). The system instead routes to the red-flag variant (v2, top procedure: MRI lumbar spine without and with IV contrast, appropriateness 9). The cause is direct and instructive: BM25 cannot represent negation. The query string contains "fever," "weight loss," and "cancer history" with high TF-IDF mass, and these terms are precisely the indicators that define the red-flag variant in the indexed text. The lexical retriever has no mechanism to distinguish "fever" from "no fever," and routes accordingly. This is not a bug to be patched; it is the expected boundary at which a lexical retriever should hand off to a model that can encode polarity — either a dense retriever fine-tuned with negation-aware contrastive pairs, or an LLM-based variant-selection layer that inspects the top-k retrieved candidates and chooses among them.</w:t>
      </w:r>
    </w:p>
    <w:p>
      <w:pPr>
        <w:pStyle w:val="Heading2"/>
      </w:pPr>
      <w:r>
        <w:rPr>
          <w:rFonts w:ascii="Times New Roman" w:cs="Times New Roman" w:eastAsia="Times New Roman" w:hAnsi="Times New Roman"/>
          <w:b/>
          <w:bCs/>
          <w:i/>
          <w:iCs/>
          <w:sz w:val="24"/>
          <w:szCs w:val="24"/>
        </w:rPr>
        <w:t xml:space="preserve">C. Abstention behavior</w:t>
      </w:r>
    </w:p>
    <w:p>
      <w:pPr>
        <w:spacing w:after="100" w:before="0" w:line="280"/>
        <w:jc w:val="both"/>
      </w:pPr>
      <w:r>
        <w:rPr>
          <w:rFonts w:ascii="Times New Roman" w:cs="Times New Roman" w:eastAsia="Times New Roman" w:hAnsi="Times New Roman"/>
          <w:sz w:val="22"/>
          <w:szCs w:val="22"/>
        </w:rPr>
        <w:t xml:space="preserve">Six of seven off-topic probes correctly return INSUFFICIENT_EVIDENCE (85.7%). The single false-route is "how do I fix a leaking faucet," which scores 2.16 on BM25 — just above the 2.0 floor — through coincidental token overlap with the RLQ-pain index. This is the calibration-versus-coverage tradeoff in its canonical form [16],[17]: raising the floor would catch the leaking faucet but might suppress short, low-vocabulary medical queries. The current operating point favors coverage on the assumption that the consulting clinician will catch the false-route by inspection of the matched_scenario field returned with every response. A learned calibrator on top of the BM25 score is the obvious next step.</w:t>
      </w:r>
    </w:p>
    <w:p>
      <w:pPr>
        <w:pStyle w:val="Heading2"/>
      </w:pPr>
      <w:r>
        <w:rPr>
          <w:rFonts w:ascii="Times New Roman" w:cs="Times New Roman" w:eastAsia="Times New Roman" w:hAnsi="Times New Roman"/>
          <w:b/>
          <w:bCs/>
          <w:i/>
          <w:iCs/>
          <w:sz w:val="24"/>
          <w:szCs w:val="24"/>
        </w:rPr>
        <w:t xml:space="preserve">D. Specialised-population variants</w:t>
      </w:r>
    </w:p>
    <w:p>
      <w:pPr>
        <w:spacing w:after="100" w:before="0" w:line="280"/>
        <w:jc w:val="both"/>
      </w:pPr>
      <w:r>
        <w:rPr>
          <w:rFonts w:ascii="Times New Roman" w:cs="Times New Roman" w:eastAsia="Times New Roman" w:hAnsi="Times New Roman"/>
          <w:sz w:val="22"/>
          <w:szCs w:val="22"/>
        </w:rPr>
        <w:t xml:space="preserve">The system correctly distinguishes pregnant from non-pregnant appendicitis (eval-005 → v2), pediatric from adult appendicitis (eval-006 → v3), and pregnant from non-pregnant suspected PE (eval-008 → v2), in each case yielding the no-radiation imaging modality at the top of the recommendation list with the correct appropriateness rating. This is the principal payoff of the variant-keyword amplification described in Section III-C; without amplification, common topic tokens dominate and these specialised variants tend to lose to the generic adult variant.</w:t>
      </w:r>
    </w:p>
    <w:p>
      <w:pPr>
        <w:pStyle w:val="Heading1"/>
      </w:pPr>
      <w:r>
        <w:rPr>
          <w:rFonts w:ascii="Times New Roman" w:cs="Times New Roman" w:eastAsia="Times New Roman" w:hAnsi="Times New Roman"/>
          <w:b/>
          <w:bCs/>
          <w:sz w:val="26"/>
          <w:szCs w:val="26"/>
        </w:rPr>
        <w:t xml:space="preserve">VI. Discussion</w:t>
      </w:r>
    </w:p>
    <w:p>
      <w:pPr>
        <w:pStyle w:val="Heading2"/>
      </w:pPr>
      <w:r>
        <w:rPr>
          <w:rFonts w:ascii="Times New Roman" w:cs="Times New Roman" w:eastAsia="Times New Roman" w:hAnsi="Times New Roman"/>
          <w:b/>
          <w:bCs/>
          <w:i/>
          <w:iCs/>
          <w:sz w:val="24"/>
          <w:szCs w:val="24"/>
        </w:rPr>
        <w:t xml:space="preserve">A. Why two faithfulness layers and not one</w:t>
      </w:r>
    </w:p>
    <w:p>
      <w:pPr>
        <w:spacing w:after="100" w:before="0" w:line="280"/>
        <w:jc w:val="both"/>
      </w:pPr>
      <w:r>
        <w:rPr>
          <w:rFonts w:ascii="Times New Roman" w:cs="Times New Roman" w:eastAsia="Times New Roman" w:hAnsi="Times New Roman"/>
          <w:sz w:val="22"/>
          <w:szCs w:val="22"/>
        </w:rPr>
        <w:t xml:space="preserve">An in-prompt grounding contract alone is insufficient: it relies on the LLM honoring the contract on every call, and existing evaluations of attributed LLMs show non-trivial fabrication rates even under explicit attribution prompts [14],[15]. A post-hoc validator alone is insufficient: without the in-prompt contract, the LLM may not even attempt to attach citation_ids in the first place. The two layers work because they fail in different ways. The in-prompt contract changes the distribution of generated outputs toward citation-bearing recommendations; the post-hoc validator catches the residual fabrications deterministically. The result, at the cost of one set membership lookup per recommendation, is a hard guarantee that no surfaced recommendation can carry a hallucinated citation.</w:t>
      </w:r>
    </w:p>
    <w:p>
      <w:pPr>
        <w:pStyle w:val="Heading2"/>
      </w:pPr>
      <w:r>
        <w:rPr>
          <w:rFonts w:ascii="Times New Roman" w:cs="Times New Roman" w:eastAsia="Times New Roman" w:hAnsi="Times New Roman"/>
          <w:b/>
          <w:bCs/>
          <w:i/>
          <w:iCs/>
          <w:sz w:val="24"/>
          <w:szCs w:val="24"/>
        </w:rPr>
        <w:t xml:space="preserve">B. Why an explicit abstention path matters</w:t>
      </w:r>
    </w:p>
    <w:p>
      <w:pPr>
        <w:spacing w:after="100" w:before="0" w:line="280"/>
        <w:jc w:val="both"/>
      </w:pPr>
      <w:r>
        <w:rPr>
          <w:rFonts w:ascii="Times New Roman" w:cs="Times New Roman" w:eastAsia="Times New Roman" w:hAnsi="Times New Roman"/>
          <w:sz w:val="22"/>
          <w:szCs w:val="22"/>
        </w:rPr>
        <w:t xml:space="preserve">Most consumer-facing LLM products do not have an "I don't know" mode; they degrade gracefully to a confident-sounding answer regardless of input. In a clinical decision-support context this is dangerous: a generic answer to a domestic plumbing query is comedy; a confident-sounding-but-wrong appendicitis recommendation is harm. INSUFFICIENT_EVIDENCE makes the abstention behavior visible to the consuming application, which can route the query to a human, ask a clarifying question, or refuse — instead of having to second-guess a confident-looking response. This is the selective-prediction posture [16],[17] applied at the system boundary rather than as an internal calibration trick.</w:t>
      </w:r>
    </w:p>
    <w:p>
      <w:pPr>
        <w:pStyle w:val="Heading2"/>
      </w:pPr>
      <w:r>
        <w:rPr>
          <w:rFonts w:ascii="Times New Roman" w:cs="Times New Roman" w:eastAsia="Times New Roman" w:hAnsi="Times New Roman"/>
          <w:b/>
          <w:bCs/>
          <w:i/>
          <w:iCs/>
          <w:sz w:val="24"/>
          <w:szCs w:val="24"/>
        </w:rPr>
        <w:t xml:space="preserve">C. Limitations</w:t>
      </w:r>
    </w:p>
    <w:p>
      <w:pPr>
        <w:spacing w:after="100" w:before="0" w:line="280"/>
        <w:jc w:val="both"/>
      </w:pPr>
      <w:r>
        <w:rPr>
          <w:rFonts w:ascii="Times New Roman" w:cs="Times New Roman" w:eastAsia="Times New Roman" w:hAnsi="Times New Roman"/>
          <w:sz w:val="22"/>
          <w:szCs w:val="22"/>
        </w:rPr>
        <w:t xml:space="preserve">Three limitations are material. First, the seed KB is synthetic and illustrative; production deployment requires a properly licensed ACR-AC ingestion. The schema is faithful to the real ACR-AC structure, so this is an engineering and licensing problem rather than a research one. Second, BM25's inability to represent negation is a genuine weakness that we have characterized but not fixed; a hybrid lexical-plus-dense retriever or an LLM-based variant-selection rerank is the natural extension. Third, the eight-scenario harness is small. Scaling to a few hundred scenarios across the full ACR-AC corpus, with multiple independent radiologists supplying ground truth, is required before any deployment claim. Almanac [38] and MedRAG [36] suggest a viable scaling path.</w:t>
      </w:r>
    </w:p>
    <w:p>
      <w:pPr>
        <w:pStyle w:val="Heading2"/>
      </w:pPr>
      <w:r>
        <w:rPr>
          <w:rFonts w:ascii="Times New Roman" w:cs="Times New Roman" w:eastAsia="Times New Roman" w:hAnsi="Times New Roman"/>
          <w:b/>
          <w:bCs/>
          <w:i/>
          <w:iCs/>
          <w:sz w:val="24"/>
          <w:szCs w:val="24"/>
        </w:rPr>
        <w:t xml:space="preserve">D. What we are not claiming</w:t>
      </w:r>
    </w:p>
    <w:p>
      <w:pPr>
        <w:spacing w:after="100" w:before="0" w:line="280"/>
        <w:jc w:val="both"/>
      </w:pPr>
      <w:r>
        <w:rPr>
          <w:rFonts w:ascii="Times New Roman" w:cs="Times New Roman" w:eastAsia="Times New Roman" w:hAnsi="Times New Roman"/>
          <w:sz w:val="22"/>
          <w:szCs w:val="22"/>
        </w:rPr>
        <w:t xml:space="preserve">We are not claiming this system is safe for unsupervised clinical use. The intent is to support a consulting radiologist with a structured, citable starting point that takes seconds to verify against the cited ACR-AC chunk. We are also not claiming a methodological advance in RAG itself; rather, the contribution is the demonstration that two minimalist guardrails — a retrieval-side abstention gate and a deterministic post-hoc citation validator — close the dominant failure modes that have made prior LLM-in-radiology evaluations unsuitable for deployment [11],[12].</w:t>
      </w:r>
    </w:p>
    <w:p>
      <w:pPr>
        <w:pStyle w:val="Heading1"/>
      </w:pPr>
      <w:r>
        <w:rPr>
          <w:rFonts w:ascii="Times New Roman" w:cs="Times New Roman" w:eastAsia="Times New Roman" w:hAnsi="Times New Roman"/>
          <w:b/>
          <w:bCs/>
          <w:sz w:val="26"/>
          <w:szCs w:val="26"/>
        </w:rPr>
        <w:t xml:space="preserve">VII. Conclusion</w:t>
      </w:r>
    </w:p>
    <w:p>
      <w:pPr>
        <w:spacing w:after="100" w:before="0" w:line="280"/>
        <w:jc w:val="both"/>
      </w:pPr>
      <w:r>
        <w:rPr>
          <w:rFonts w:ascii="Times New Roman" w:cs="Times New Roman" w:eastAsia="Times New Roman" w:hAnsi="Times New Roman"/>
          <w:sz w:val="22"/>
          <w:szCs w:val="22"/>
        </w:rPr>
        <w:t xml:space="preserve">We presented an end-to-end RAG pipeline for radiology consult support grounded in the ACR Appropriateness Criteria, characterized by an explicit INSUFFICIENT_EVIDENCE abstention path and a two-layer citation-faithfulness guardrail. Across an eight-scenario in-domain harness the system achieves 100% topic accuracy and 100% citation fidelity, with a single instructive variant-level failure on a negation case that motivates a specific next step. The architecture is small, transparent, and reproducible, and we believe the citation-validation pattern in particular generalises to any clinical-decision-support task where every recommendation must trace to an authoritative source.</w:t>
      </w:r>
    </w:p>
    <w:p>
      <w:pPr>
        <w:pStyle w:val="Heading1"/>
      </w:pPr>
      <w:r>
        <w:rPr>
          <w:rFonts w:ascii="Times New Roman" w:cs="Times New Roman" w:eastAsia="Times New Roman" w:hAnsi="Times New Roman"/>
          <w:b/>
          <w:bCs/>
          <w:sz w:val="26"/>
          <w:szCs w:val="26"/>
        </w:rPr>
        <w:t xml:space="preserve">References</w:t>
      </w:r>
    </w:p>
    <w:p>
      <w:pPr>
        <w:spacing w:after="80" w:before="0" w:line="240"/>
        <w:ind w:left="360" w:hanging="360"/>
        <w:jc w:val="both"/>
      </w:pPr>
      <w:r>
        <w:rPr>
          <w:rFonts w:ascii="Times New Roman" w:cs="Times New Roman" w:eastAsia="Times New Roman" w:hAnsi="Times New Roman"/>
          <w:sz w:val="20"/>
          <w:szCs w:val="20"/>
        </w:rPr>
        <w:t xml:space="preserve">[1] C. L. Sistrom, P. A. Dang, J. B. Weilburg, K. J. Dreyer, D. I. Rosenthal, and J. H. Thrall, "Effect of Computerized Order Entry With Integrated Decision Support on the Growth of Outpatient Procedure Volumes: Seven-Year Time Series Analysis," Radiology, vol. 251, no. 1, pp. 147–155, 2009.</w:t>
      </w:r>
    </w:p>
    <w:p>
      <w:pPr>
        <w:spacing w:after="80" w:before="0" w:line="240"/>
        <w:ind w:left="360" w:hanging="360"/>
        <w:jc w:val="both"/>
      </w:pPr>
      <w:r>
        <w:rPr>
          <w:rFonts w:ascii="Times New Roman" w:cs="Times New Roman" w:eastAsia="Times New Roman" w:hAnsi="Times New Roman"/>
          <w:sz w:val="20"/>
          <w:szCs w:val="20"/>
        </w:rPr>
        <w:t xml:space="preserve">[2] D. I. Rosenthal, J. B. Weilburg, T. Schultz et al., "Radiology Order Entry With Decision Support: Initial Clinical Experience," J. Am. Coll. Radiol., vol. 3, no. 10, pp. 799–806, 2006.</w:t>
      </w:r>
    </w:p>
    <w:p>
      <w:pPr>
        <w:spacing w:after="80" w:before="0" w:line="240"/>
        <w:ind w:left="360" w:hanging="360"/>
        <w:jc w:val="both"/>
      </w:pPr>
      <w:r>
        <w:rPr>
          <w:rFonts w:ascii="Times New Roman" w:cs="Times New Roman" w:eastAsia="Times New Roman" w:hAnsi="Times New Roman"/>
          <w:sz w:val="20"/>
          <w:szCs w:val="20"/>
        </w:rPr>
        <w:t xml:space="preserve">[3] D. A. Kurth, B. K. Karmazyn, C. A. Waldrip, M. Chatfield, and M. E. Lockhart, "ACR Appropriateness Criteria® Methodology," J. Am. Coll. Radiol., vol. 18, no. 11S, pp. S240–S250, 2021.</w:t>
      </w:r>
    </w:p>
    <w:p>
      <w:pPr>
        <w:spacing w:after="80" w:before="0" w:line="240"/>
        <w:ind w:left="360" w:hanging="360"/>
        <w:jc w:val="both"/>
      </w:pPr>
      <w:r>
        <w:rPr>
          <w:rFonts w:ascii="Times New Roman" w:cs="Times New Roman" w:eastAsia="Times New Roman" w:hAnsi="Times New Roman"/>
          <w:sz w:val="20"/>
          <w:szCs w:val="20"/>
        </w:rPr>
        <w:t xml:space="preserve">[4] C. L. Sistrom, "In Support of the ACR Appropriateness Criteria," J. Am. Coll. Radiol., vol. 5, no. 5, pp. 630–635, 2008.</w:t>
      </w:r>
    </w:p>
    <w:p>
      <w:pPr>
        <w:spacing w:after="80" w:before="0" w:line="240"/>
        <w:ind w:left="360" w:hanging="360"/>
        <w:jc w:val="both"/>
      </w:pPr>
      <w:r>
        <w:rPr>
          <w:rFonts w:ascii="Times New Roman" w:cs="Times New Roman" w:eastAsia="Times New Roman" w:hAnsi="Times New Roman"/>
          <w:sz w:val="20"/>
          <w:szCs w:val="20"/>
        </w:rPr>
        <w:t xml:space="preserve">[5] A. Y. Sheng, A. Castro, and R. E. Lewiss, "Awareness, Utilization, and Education of the ACR Appropriateness Criteria: A Review and Future Directions," J. Am. Coll. Radiol., vol. 13, no. 2, pp. 131–136, 2016.</w:t>
      </w:r>
    </w:p>
    <w:p>
      <w:pPr>
        <w:spacing w:after="80" w:before="0" w:line="240"/>
        <w:ind w:left="360" w:hanging="360"/>
        <w:jc w:val="both"/>
      </w:pPr>
      <w:r>
        <w:rPr>
          <w:rFonts w:ascii="Times New Roman" w:cs="Times New Roman" w:eastAsia="Times New Roman" w:hAnsi="Times New Roman"/>
          <w:sz w:val="20"/>
          <w:szCs w:val="20"/>
        </w:rPr>
        <w:t xml:space="preserve">[6] K. Singhal, S. Azizi, T. Tu et al., "Large Language Models Encode Clinical Knowledge," Nature, vol. 620, no. 7972, pp. 172–180, 2023.</w:t>
      </w:r>
    </w:p>
    <w:p>
      <w:pPr>
        <w:spacing w:after="80" w:before="0" w:line="240"/>
        <w:ind w:left="360" w:hanging="360"/>
        <w:jc w:val="both"/>
      </w:pPr>
      <w:r>
        <w:rPr>
          <w:rFonts w:ascii="Times New Roman" w:cs="Times New Roman" w:eastAsia="Times New Roman" w:hAnsi="Times New Roman"/>
          <w:sz w:val="20"/>
          <w:szCs w:val="20"/>
        </w:rPr>
        <w:t xml:space="preserve">[7] K. Singhal, T. Tu, J. Gottweis et al., "Toward Expert-Level Medical Question Answering with Large Language Models," Nature Medicine, vol. 31, pp. 943–950, 2025.</w:t>
      </w:r>
    </w:p>
    <w:p>
      <w:pPr>
        <w:spacing w:after="80" w:before="0" w:line="240"/>
        <w:ind w:left="360" w:hanging="360"/>
        <w:jc w:val="both"/>
      </w:pPr>
      <w:r>
        <w:rPr>
          <w:rFonts w:ascii="Times New Roman" w:cs="Times New Roman" w:eastAsia="Times New Roman" w:hAnsi="Times New Roman"/>
          <w:sz w:val="20"/>
          <w:szCs w:val="20"/>
        </w:rPr>
        <w:t xml:space="preserve">[8] H. Nori, N. King, S. M. McKinney, D. Carignan, and E. Horvitz, "Capabilities of GPT-4 on Medical Challenge Problems," arXiv:2303.13375, 2023.</w:t>
      </w:r>
    </w:p>
    <w:p>
      <w:pPr>
        <w:spacing w:after="80" w:before="0" w:line="240"/>
        <w:ind w:left="360" w:hanging="360"/>
        <w:jc w:val="both"/>
      </w:pPr>
      <w:r>
        <w:rPr>
          <w:rFonts w:ascii="Times New Roman" w:cs="Times New Roman" w:eastAsia="Times New Roman" w:hAnsi="Times New Roman"/>
          <w:sz w:val="20"/>
          <w:szCs w:val="20"/>
        </w:rPr>
        <w:t xml:space="preserve">[9] Z. Kanjee, B. Crowe, and A. Rodman, "Accuracy of a Generative Artificial Intelligence Model in a Complex Diagnostic Challenge," JAMA, vol. 330, no. 1, pp. 78–80, 2023.</w:t>
      </w:r>
    </w:p>
    <w:p>
      <w:pPr>
        <w:spacing w:after="80" w:before="0" w:line="240"/>
        <w:ind w:left="360" w:hanging="360"/>
        <w:jc w:val="both"/>
      </w:pPr>
      <w:r>
        <w:rPr>
          <w:rFonts w:ascii="Times New Roman" w:cs="Times New Roman" w:eastAsia="Times New Roman" w:hAnsi="Times New Roman"/>
          <w:sz w:val="20"/>
          <w:szCs w:val="20"/>
        </w:rPr>
        <w:t xml:space="preserve">[10] E. Goh, R. Gallo, J. Hom et al., "Large Language Model Influence on Diagnostic Reasoning: A Randomized Clinical Trial," JAMA Network Open, vol. 7, no. 10, e2440969, 2024.</w:t>
      </w:r>
    </w:p>
    <w:p>
      <w:pPr>
        <w:spacing w:after="80" w:before="0" w:line="240"/>
        <w:ind w:left="360" w:hanging="360"/>
        <w:jc w:val="both"/>
      </w:pPr>
      <w:r>
        <w:rPr>
          <w:rFonts w:ascii="Times New Roman" w:cs="Times New Roman" w:eastAsia="Times New Roman" w:hAnsi="Times New Roman"/>
          <w:sz w:val="20"/>
          <w:szCs w:val="20"/>
        </w:rPr>
        <w:t xml:space="preserve">[11] R. Bhayana, S. Krishna, and R. R. Bleakney, "Performance of ChatGPT on a Radiology Board-Style Examination: Insights into Current Strengths and Limitations," Radiology, vol. 307, no. 5, e230582, 2023.</w:t>
      </w:r>
    </w:p>
    <w:p>
      <w:pPr>
        <w:spacing w:after="80" w:before="0" w:line="240"/>
        <w:ind w:left="360" w:hanging="360"/>
        <w:jc w:val="both"/>
      </w:pPr>
      <w:r>
        <w:rPr>
          <w:rFonts w:ascii="Times New Roman" w:cs="Times New Roman" w:eastAsia="Times New Roman" w:hAnsi="Times New Roman"/>
          <w:sz w:val="20"/>
          <w:szCs w:val="20"/>
        </w:rPr>
        <w:t xml:space="preserve">[12] Q. Lyu, J. Tan, M. E. Zapadka et al., "Translating Radiology Reports into Plain Language Using ChatGPT and GPT-4 with Prompt Learning," Visual Computing for Industry, Biomedicine, and Art, vol. 6, art. 9, 2023.</w:t>
      </w:r>
    </w:p>
    <w:p>
      <w:pPr>
        <w:spacing w:after="80" w:before="0" w:line="240"/>
        <w:ind w:left="360" w:hanging="360"/>
        <w:jc w:val="both"/>
      </w:pPr>
      <w:r>
        <w:rPr>
          <w:rFonts w:ascii="Times New Roman" w:cs="Times New Roman" w:eastAsia="Times New Roman" w:hAnsi="Times New Roman"/>
          <w:sz w:val="20"/>
          <w:szCs w:val="20"/>
        </w:rPr>
        <w:t xml:space="preserve">[13] R. Bhayana, "Chatbots and Large Language Models in Radiology: A Practical Primer for Clinical and Research Applications," Radiology, vol. 310, no. 1, e232756, 2024.</w:t>
      </w:r>
    </w:p>
    <w:p>
      <w:pPr>
        <w:spacing w:after="80" w:before="0" w:line="240"/>
        <w:ind w:left="360" w:hanging="360"/>
        <w:jc w:val="both"/>
      </w:pPr>
      <w:r>
        <w:rPr>
          <w:rFonts w:ascii="Times New Roman" w:cs="Times New Roman" w:eastAsia="Times New Roman" w:hAnsi="Times New Roman"/>
          <w:sz w:val="20"/>
          <w:szCs w:val="20"/>
        </w:rPr>
        <w:t xml:space="preserve">[14] H. Rashkin, V. Nikolaev, M. Lamm, L. Aroyo, M. Collins, D. Das, S. Petrov, G. S. Tomar, I. Turc, and D. Reitter, "Measuring Attribution in Natural Language Generation Models," Computational Linguistics, vol. 49, no. 4, pp. 777–840, 2023.</w:t>
      </w:r>
    </w:p>
    <w:p>
      <w:pPr>
        <w:spacing w:after="80" w:before="0" w:line="240"/>
        <w:ind w:left="360" w:hanging="360"/>
        <w:jc w:val="both"/>
      </w:pPr>
      <w:r>
        <w:rPr>
          <w:rFonts w:ascii="Times New Roman" w:cs="Times New Roman" w:eastAsia="Times New Roman" w:hAnsi="Times New Roman"/>
          <w:sz w:val="20"/>
          <w:szCs w:val="20"/>
        </w:rPr>
        <w:t xml:space="preserve">[15] B. Bohnet, V. Q. Tran, P. Verga et al., "Attributed Question Answering: Evaluation and Modeling for Attributed Large Language Models," arXiv:2212.08037, 2022.</w:t>
      </w:r>
    </w:p>
    <w:p>
      <w:pPr>
        <w:spacing w:after="80" w:before="0" w:line="240"/>
        <w:ind w:left="360" w:hanging="360"/>
        <w:jc w:val="both"/>
      </w:pPr>
      <w:r>
        <w:rPr>
          <w:rFonts w:ascii="Times New Roman" w:cs="Times New Roman" w:eastAsia="Times New Roman" w:hAnsi="Times New Roman"/>
          <w:sz w:val="20"/>
          <w:szCs w:val="20"/>
        </w:rPr>
        <w:t xml:space="preserve">[16] A. Kamath, R. Jia, and P. Liang, "Selective Question Answering under Domain Shift," in Proc. ACL, 2020, pp. 5684–5696.</w:t>
      </w:r>
    </w:p>
    <w:p>
      <w:pPr>
        <w:spacing w:after="80" w:before="0" w:line="240"/>
        <w:ind w:left="360" w:hanging="360"/>
        <w:jc w:val="both"/>
      </w:pPr>
      <w:r>
        <w:rPr>
          <w:rFonts w:ascii="Times New Roman" w:cs="Times New Roman" w:eastAsia="Times New Roman" w:hAnsi="Times New Roman"/>
          <w:sz w:val="20"/>
          <w:szCs w:val="20"/>
        </w:rPr>
        <w:t xml:space="preserve">[17] N. Varshney, S. Mishra, and C. Baral, "Investigating Selective Prediction Approaches Across Several Tasks in IID, OOD, and Adversarial Settings," in Findings of ACL, 2022, pp. 1995–2002.</w:t>
      </w:r>
    </w:p>
    <w:p>
      <w:pPr>
        <w:spacing w:after="80" w:before="0" w:line="240"/>
        <w:ind w:left="360" w:hanging="360"/>
        <w:jc w:val="both"/>
      </w:pPr>
      <w:r>
        <w:rPr>
          <w:rFonts w:ascii="Times New Roman" w:cs="Times New Roman" w:eastAsia="Times New Roman" w:hAnsi="Times New Roman"/>
          <w:sz w:val="20"/>
          <w:szCs w:val="20"/>
        </w:rPr>
        <w:t xml:space="preserve">[18] L. Gao, Z. Dai, P. Pasupat et al., "RARR: Researching and Revising What Language Models Say, Using Language Models," in Proc. ACL, 2023, pp. 16477–16508.</w:t>
      </w:r>
    </w:p>
    <w:p>
      <w:pPr>
        <w:spacing w:after="80" w:before="0" w:line="240"/>
        <w:ind w:left="360" w:hanging="360"/>
        <w:jc w:val="both"/>
      </w:pPr>
      <w:r>
        <w:rPr>
          <w:rFonts w:ascii="Times New Roman" w:cs="Times New Roman" w:eastAsia="Times New Roman" w:hAnsi="Times New Roman"/>
          <w:sz w:val="20"/>
          <w:szCs w:val="20"/>
        </w:rPr>
        <w:t xml:space="preserve">[19]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80" w:before="0" w:line="240"/>
        <w:ind w:left="360" w:hanging="360"/>
        <w:jc w:val="both"/>
      </w:pPr>
      <w:r>
        <w:rPr>
          <w:rFonts w:ascii="Times New Roman" w:cs="Times New Roman" w:eastAsia="Times New Roman" w:hAnsi="Times New Roman"/>
          <w:sz w:val="20"/>
          <w:szCs w:val="20"/>
        </w:rPr>
        <w:t xml:space="preserve">[20] V. Karpukhin, B. Oğuz, S. Min, P. Lewis, L. Wu, S. Edunov, D. Chen, and W. Yih, "Dense Passage Retrieval for Open-Domain Question Answering," in Proc. EMNLP, 2020, pp. 6769–6781.</w:t>
      </w:r>
    </w:p>
    <w:p>
      <w:pPr>
        <w:spacing w:after="80" w:before="0" w:line="240"/>
        <w:ind w:left="360" w:hanging="360"/>
        <w:jc w:val="both"/>
      </w:pPr>
      <w:r>
        <w:rPr>
          <w:rFonts w:ascii="Times New Roman" w:cs="Times New Roman" w:eastAsia="Times New Roman" w:hAnsi="Times New Roman"/>
          <w:sz w:val="20"/>
          <w:szCs w:val="20"/>
        </w:rPr>
        <w:t xml:space="preserve">[21] G. Izacard and E. Grave, "Leveraging Passage Retrieval with Generative Models for Open Domain Question Answering," in Proc. EACL, 2021, pp. 874–880.</w:t>
      </w:r>
    </w:p>
    <w:p>
      <w:pPr>
        <w:spacing w:after="80" w:before="0" w:line="240"/>
        <w:ind w:left="360" w:hanging="360"/>
        <w:jc w:val="both"/>
      </w:pPr>
      <w:r>
        <w:rPr>
          <w:rFonts w:ascii="Times New Roman" w:cs="Times New Roman" w:eastAsia="Times New Roman" w:hAnsi="Times New Roman"/>
          <w:sz w:val="20"/>
          <w:szCs w:val="20"/>
        </w:rPr>
        <w:t xml:space="preserve">[22] K. Guu, K. Lee, Z. Tung, P. Pasupat, and M. Chang, "REALM: Retrieval-Augmented Language Model Pre-Training," in Proc. ICML, vol. 119, 2020, pp. 3929–3938.</w:t>
      </w:r>
    </w:p>
    <w:p>
      <w:pPr>
        <w:spacing w:after="80" w:before="0" w:line="240"/>
        <w:ind w:left="360" w:hanging="360"/>
        <w:jc w:val="both"/>
      </w:pPr>
      <w:r>
        <w:rPr>
          <w:rFonts w:ascii="Times New Roman" w:cs="Times New Roman" w:eastAsia="Times New Roman" w:hAnsi="Times New Roman"/>
          <w:sz w:val="20"/>
          <w:szCs w:val="20"/>
        </w:rPr>
        <w:t xml:space="preserve">[23] S. Borgeaud, A. Mensch, J. Hoffmann et al., "Improving Language Models by Retrieving from Trillions of Tokens," in Proc. ICML, vol. 162, 2022, pp. 2206–2240.</w:t>
      </w:r>
    </w:p>
    <w:p>
      <w:pPr>
        <w:spacing w:after="80" w:before="0" w:line="240"/>
        <w:ind w:left="360" w:hanging="360"/>
        <w:jc w:val="both"/>
      </w:pPr>
      <w:r>
        <w:rPr>
          <w:rFonts w:ascii="Times New Roman" w:cs="Times New Roman" w:eastAsia="Times New Roman" w:hAnsi="Times New Roman"/>
          <w:sz w:val="20"/>
          <w:szCs w:val="20"/>
        </w:rPr>
        <w:t xml:space="preserve">[24] Y. Gao, Y. Xiong, X. Gao, K. Jia, J. Pan, Y. Bi, Y. Dai, J. Sun, M. Wang, and H. Wang, "Retrieval-Augmented Generation for Large Language Models: A Survey," arXiv:2312.10997, 2023.</w:t>
      </w:r>
    </w:p>
    <w:p>
      <w:pPr>
        <w:spacing w:after="80" w:before="0" w:line="240"/>
        <w:ind w:left="360" w:hanging="360"/>
        <w:jc w:val="both"/>
      </w:pPr>
      <w:r>
        <w:rPr>
          <w:rFonts w:ascii="Times New Roman" w:cs="Times New Roman" w:eastAsia="Times New Roman" w:hAnsi="Times New Roman"/>
          <w:sz w:val="20"/>
          <w:szCs w:val="20"/>
        </w:rPr>
        <w:t xml:space="preserve">[25] O. Ram, Y. Levine, I. Dalmedigos, D. Muhlgay, A. Shashua, K. Leyton-Brown, and Y. Shoham, "In-Context Retrieval-Augmented Language Models," Trans. Assoc. Comput. Linguistics, vol. 11, pp. 1316–1331, 2023.</w:t>
      </w:r>
    </w:p>
    <w:p>
      <w:pPr>
        <w:spacing w:after="80" w:before="0" w:line="240"/>
        <w:ind w:left="360" w:hanging="360"/>
        <w:jc w:val="both"/>
      </w:pPr>
      <w:r>
        <w:rPr>
          <w:rFonts w:ascii="Times New Roman" w:cs="Times New Roman" w:eastAsia="Times New Roman" w:hAnsi="Times New Roman"/>
          <w:sz w:val="20"/>
          <w:szCs w:val="20"/>
        </w:rPr>
        <w:t xml:space="preserve">[26] Z. Ji, N. Lee, R. Frieske, T. Yu, D. Su, Y. Xu, E. Ishii, Y. J. Bang, A. Madotto, and P. Fung, "Survey of Hallucination in Natural Language Generation," ACM Computing Surveys, vol. 55, no. 12, art. 248, 2023.</w:t>
      </w:r>
    </w:p>
    <w:p>
      <w:pPr>
        <w:spacing w:after="80" w:before="0" w:line="240"/>
        <w:ind w:left="360" w:hanging="360"/>
        <w:jc w:val="both"/>
      </w:pPr>
      <w:r>
        <w:rPr>
          <w:rFonts w:ascii="Times New Roman" w:cs="Times New Roman" w:eastAsia="Times New Roman" w:hAnsi="Times New Roman"/>
          <w:sz w:val="20"/>
          <w:szCs w:val="20"/>
        </w:rPr>
        <w:t xml:space="preserve">[27] L. Huang, W. Yu, W. Ma et al., "A Survey on Hallucination in Large Language Models: Principles, Taxonomy, Challenges, and Open Questions," ACM Trans. Inf. Syst., 2023. arXiv:2311.05232.</w:t>
      </w:r>
    </w:p>
    <w:p>
      <w:pPr>
        <w:spacing w:after="80" w:before="0" w:line="240"/>
        <w:ind w:left="360" w:hanging="360"/>
        <w:jc w:val="both"/>
      </w:pPr>
      <w:r>
        <w:rPr>
          <w:rFonts w:ascii="Times New Roman" w:cs="Times New Roman" w:eastAsia="Times New Roman" w:hAnsi="Times New Roman"/>
          <w:sz w:val="20"/>
          <w:szCs w:val="20"/>
        </w:rPr>
        <w:t xml:space="preserve">[28] K. Shuster, S. Poff, M. Chen, D. Kiela, and J. Weston, "Retrieval Augmentation Reduces Hallucination in Conversation," in Findings of EMNLP, 2021, pp. 3784–3803.</w:t>
      </w:r>
    </w:p>
    <w:p>
      <w:pPr>
        <w:spacing w:after="80" w:before="0" w:line="240"/>
        <w:ind w:left="360" w:hanging="360"/>
        <w:jc w:val="both"/>
      </w:pPr>
      <w:r>
        <w:rPr>
          <w:rFonts w:ascii="Times New Roman" w:cs="Times New Roman" w:eastAsia="Times New Roman" w:hAnsi="Times New Roman"/>
          <w:sz w:val="20"/>
          <w:szCs w:val="20"/>
        </w:rPr>
        <w:t xml:space="preserve">[29] S. M. T. I. Tonmoy, S. M. M. Zaman, V. Jain, A. Rani, V. Rawte, A. Chadha, and A. Das, "A Comprehensive Survey of Hallucination Mitigation Techniques in Large Language Models," arXiv:2401.01313, 2024.</w:t>
      </w:r>
    </w:p>
    <w:p>
      <w:pPr>
        <w:spacing w:after="80" w:before="0" w:line="240"/>
        <w:ind w:left="360" w:hanging="360"/>
        <w:jc w:val="both"/>
      </w:pPr>
      <w:r>
        <w:rPr>
          <w:rFonts w:ascii="Times New Roman" w:cs="Times New Roman" w:eastAsia="Times New Roman" w:hAnsi="Times New Roman"/>
          <w:sz w:val="20"/>
          <w:szCs w:val="20"/>
        </w:rPr>
        <w:t xml:space="preserve">[30] P. Lee, S. Bubeck, and J. Petro, "Benefits, Limits, and Risks of GPT-4 as an AI Chatbot for Medicine," New England J. Medicine, vol. 388, no. 13, pp. 1233–1239, 2023.</w:t>
      </w:r>
    </w:p>
    <w:p>
      <w:pPr>
        <w:spacing w:after="80" w:before="0" w:line="240"/>
        <w:ind w:left="360" w:hanging="360"/>
        <w:jc w:val="both"/>
      </w:pPr>
      <w:r>
        <w:rPr>
          <w:rFonts w:ascii="Times New Roman" w:cs="Times New Roman" w:eastAsia="Times New Roman" w:hAnsi="Times New Roman"/>
          <w:sz w:val="20"/>
          <w:szCs w:val="20"/>
        </w:rPr>
        <w:t xml:space="preserve">[31] A. J. Thirunavukarasu, D. S. J. Ting, K. Elangovan, L. Gutierrez, T. F. Tan, and D. S. W. Ting, "Large Language Models in Medicine," Nature Medicine, vol. 29, no. 8, pp. 1930–1940, 2023.</w:t>
      </w:r>
    </w:p>
    <w:p>
      <w:pPr>
        <w:spacing w:after="80" w:before="0" w:line="240"/>
        <w:ind w:left="360" w:hanging="360"/>
        <w:jc w:val="both"/>
      </w:pPr>
      <w:r>
        <w:rPr>
          <w:rFonts w:ascii="Times New Roman" w:cs="Times New Roman" w:eastAsia="Times New Roman" w:hAnsi="Times New Roman"/>
          <w:sz w:val="20"/>
          <w:szCs w:val="20"/>
        </w:rPr>
        <w:t xml:space="preserve">[32] L. C. Adams, D. Truhn, F. Busch, A. Kader, S. M. Niehues, M. R. Makowski, and K. K. Bressem, "Leveraging GPT-4 for Post Hoc Transformation of Free-Text Radiology Reports into Structured Reporting: A Multilingual Feasibility Study," Radiology, vol. 307, no. 4, e230725, 2023.</w:t>
      </w:r>
    </w:p>
    <w:p>
      <w:pPr>
        <w:spacing w:after="80" w:before="0" w:line="240"/>
        <w:ind w:left="360" w:hanging="360"/>
        <w:jc w:val="both"/>
      </w:pPr>
      <w:r>
        <w:rPr>
          <w:rFonts w:ascii="Times New Roman" w:cs="Times New Roman" w:eastAsia="Times New Roman" w:hAnsi="Times New Roman"/>
          <w:sz w:val="20"/>
          <w:szCs w:val="20"/>
        </w:rPr>
        <w:t xml:space="preserve">[33] A. Rao, J. Kim, M. Kamineni, M. Pang, W. Lie, and M. D. Succi, "Evaluating ChatGPT as an Adjunct for Radiologic Decision-Making," J. Am. Coll. Radiol., 2023. doi:10.1016/j.jacr.2023.05.003.</w:t>
      </w:r>
    </w:p>
    <w:p>
      <w:pPr>
        <w:spacing w:after="80" w:before="0" w:line="240"/>
        <w:ind w:left="360" w:hanging="360"/>
        <w:jc w:val="both"/>
      </w:pPr>
      <w:r>
        <w:rPr>
          <w:rFonts w:ascii="Times New Roman" w:cs="Times New Roman" w:eastAsia="Times New Roman" w:hAnsi="Times New Roman"/>
          <w:sz w:val="20"/>
          <w:szCs w:val="20"/>
        </w:rPr>
        <w:t xml:space="preserve">[34] A. A. Elkassem and A. D. Smith, "Potential Use Cases for ChatGPT in Radiology Reporting," American J. Roentgenology, vol. 221, no. 3, pp. 373–376, 2023.</w:t>
      </w:r>
    </w:p>
    <w:p>
      <w:pPr>
        <w:spacing w:after="80" w:before="0" w:line="240"/>
        <w:ind w:left="360" w:hanging="360"/>
        <w:jc w:val="both"/>
      </w:pPr>
      <w:r>
        <w:rPr>
          <w:rFonts w:ascii="Times New Roman" w:cs="Times New Roman" w:eastAsia="Times New Roman" w:hAnsi="Times New Roman"/>
          <w:sz w:val="20"/>
          <w:szCs w:val="20"/>
        </w:rPr>
        <w:t xml:space="preserve">[35] A. Rau, S. Rau, D. Zoeller et al., "A Context-based Chatbot Surpasses Trained Radiologists and Generic ChatGPT in Following the ACR Appropriateness Guidelines," Radiology, vol. 308, no. 1, e230970, 2023.</w:t>
      </w:r>
    </w:p>
    <w:p>
      <w:pPr>
        <w:spacing w:after="80" w:before="0" w:line="240"/>
        <w:ind w:left="360" w:hanging="360"/>
        <w:jc w:val="both"/>
      </w:pPr>
      <w:r>
        <w:rPr>
          <w:rFonts w:ascii="Times New Roman" w:cs="Times New Roman" w:eastAsia="Times New Roman" w:hAnsi="Times New Roman"/>
          <w:sz w:val="20"/>
          <w:szCs w:val="20"/>
        </w:rPr>
        <w:t xml:space="preserve">[36] G. Xiong, Q. Jin, Z. Lu, and A. Zhang, "Benchmarking Retrieval-Augmented Generation for Medicine," in Findings of ACL, 2024, pp. 6233–6251.</w:t>
      </w:r>
    </w:p>
    <w:p>
      <w:pPr>
        <w:spacing w:after="80" w:before="0" w:line="240"/>
        <w:ind w:left="360" w:hanging="360"/>
        <w:jc w:val="both"/>
      </w:pPr>
      <w:r>
        <w:rPr>
          <w:rFonts w:ascii="Times New Roman" w:cs="Times New Roman" w:eastAsia="Times New Roman" w:hAnsi="Times New Roman"/>
          <w:sz w:val="20"/>
          <w:szCs w:val="20"/>
        </w:rPr>
        <w:t xml:space="preserve">[37] N. F. Liu, K. Lin, J. Hewitt, A. Paranjape, M. Bevilacqua, F. Petroni, and P. Liang, "Lost in the Middle: How Language Models Use Long Contexts," Trans. Assoc. Comput. Linguistics, vol. 12, pp. 157–173, 2024.</w:t>
      </w:r>
    </w:p>
    <w:p>
      <w:pPr>
        <w:spacing w:after="80" w:before="0" w:line="240"/>
        <w:ind w:left="360" w:hanging="360"/>
        <w:jc w:val="both"/>
      </w:pPr>
      <w:r>
        <w:rPr>
          <w:rFonts w:ascii="Times New Roman" w:cs="Times New Roman" w:eastAsia="Times New Roman" w:hAnsi="Times New Roman"/>
          <w:sz w:val="20"/>
          <w:szCs w:val="20"/>
        </w:rPr>
        <w:t xml:space="preserve">[38] C. Zakka, R. Shad, A. Chaurasia et al., "Almanac — Retrieval-Augmented Language Models for Clinical Medicine," NEJM AI, vol. 1, no. 2, AIoa2300068, 2024.</w:t>
      </w:r>
    </w:p>
    <w:p>
      <w:pPr>
        <w:spacing w:after="80" w:before="0" w:line="240"/>
        <w:ind w:left="360" w:hanging="360"/>
        <w:jc w:val="both"/>
      </w:pPr>
      <w:r>
        <w:rPr>
          <w:rFonts w:ascii="Times New Roman" w:cs="Times New Roman" w:eastAsia="Times New Roman" w:hAnsi="Times New Roman"/>
          <w:sz w:val="20"/>
          <w:szCs w:val="20"/>
        </w:rPr>
        <w:t xml:space="preserve">[39] S. Robertson and H. Zaragoza, "The Probabilistic Relevance Framework: BM25 and Beyond," Foundations and Trends in Information Retrieval, vol. 3, no. 4, pp. 333–389, 2009. doi:10.1561/1500000019.</w:t>
      </w:r>
    </w:p>
    <w:p>
      <w:pPr>
        <w:spacing w:after="80" w:before="0" w:line="240"/>
        <w:ind w:left="360" w:hanging="360"/>
        <w:jc w:val="both"/>
      </w:pPr>
      <w:r>
        <w:rPr>
          <w:rFonts w:ascii="Times New Roman" w:cs="Times New Roman" w:eastAsia="Times New Roman" w:hAnsi="Times New Roman"/>
          <w:sz w:val="20"/>
          <w:szCs w:val="20"/>
        </w:rPr>
        <w:t xml:space="preserve">[40] A. Trotman, A. Puurula, and B. Burgess, "Improvements to BM25 and Language Models Examined," in Proc. Australasian Document Computing Symp. (ADCS), 2014, pp. 58–66.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2"/>
      <w:szCs w:val="22"/>
    </w:rPr>
  </w:style>
  <w:style w:type="paragraph" w:styleId="Caption">
    <w:name w:val="Caption"/>
    <w:basedOn w:val="Normal"/>
    <w:next w:val="Normal"/>
    <w:qFormat/>
    <w:pPr>
      <w:spacing w:after="180" w:before="6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2026-04-28T00:29:35.583Z</dcterms:created>
  <dcterms:modified xsi:type="dcterms:W3CDTF">2026-04-28T00:29:35.583Z</dcterms:modified>
</cp:coreProperties>
</file>

<file path=docProps/custom.xml><?xml version="1.0" encoding="utf-8"?>
<Properties xmlns="http://schemas.openxmlformats.org/officeDocument/2006/custom-properties" xmlns:vt="http://schemas.openxmlformats.org/officeDocument/2006/docPropsVTypes"/>
</file>