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20"/>
        <w:jc w:val="center"/>
      </w:pPr>
      <w:r>
        <w:rPr>
          <w:rFonts w:ascii="Times New Roman" w:cs="Times New Roman" w:eastAsia="Times New Roman" w:hAnsi="Times New Roman"/>
          <w:b/>
          <w:bCs/>
          <w:sz w:val="36"/>
          <w:szCs w:val="36"/>
        </w:rPr>
        <w:t xml:space="preserve">INSUFFICIENT_EVIDENCE: Abstention and Post-Hoc Citation Validation as Default Modes for Clinical RAG</w:t>
      </w:r>
    </w:p>
    <w:p>
      <w:pPr>
        <w:spacing w:after="360" w:before="0" w:line="280"/>
        <w:jc w:val="center"/>
      </w:pPr>
      <w:r>
        <w:rPr>
          <w:rFonts w:ascii="Times New Roman" w:cs="Times New Roman" w:eastAsia="Times New Roman" w:hAnsi="Times New Roman"/>
          <w:i/>
          <w:iCs/>
          <w:sz w:val="24"/>
          <w:szCs w:val="24"/>
        </w:rPr>
        <w:t xml:space="preserve">A short paper on minimalist guardrails for guideline-grounded LLM consult support, evaluated on the ACR Appropriateness Criteria</w:t>
      </w:r>
    </w:p>
    <w:p>
      <w:pPr>
        <w:spacing w:after="360" w:before="0" w:line="280"/>
        <w:jc w:val="center"/>
      </w:pPr>
      <w:r>
        <w:rPr>
          <w:rFonts w:ascii="Times New Roman" w:cs="Times New Roman" w:eastAsia="Times New Roman" w:hAnsi="Times New Roman"/>
          <w:i/>
          <w:iCs/>
          <w:sz w:val="24"/>
          <w:szCs w:val="24"/>
        </w:rPr>
        <w:t xml:space="preserve">[Author Name], [Affiliation], [Email]</w:t>
      </w:r>
    </w:p>
    <w:p>
      <w:pPr>
        <w:spacing w:after="240" w:before="80" w:line="280"/>
        <w:ind w:left="360" w:right="360"/>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Most LLM-based clinical decision support systems fail in two specific ways: they fabricate citations, and they degrade gracefully to confident-sounding answers when they should refuse. We argue that these are not orthogonal problems and not problems to be addressed by larger models or better prompts. They are problems to be addressed by two specific architectural choices made at the system boundary. We demonstrate this on a retrieval-augmented consult-support system grounded in the ACR Appropriateness Criteria. The system contributes (i) an absolute-score abstention gate that surfaces an explicit INSUFFICIENT_EVIDENCE response when no retrieved chunk crosses threshold, replacing the implicit "fall through to a generic answer" failure mode; and (ii) a deterministic post-hoc citation validator that strips any LLM recommendation whose citation_id does not match a real retrieved chunk, providing a hard guarantee — not a statistical claim — that no surfaced recommendation can carry a hallucinated citation. On an eight-scenario in-domain evaluation harness the system achieves 100.0% topic accuracy and 100.0% citation fidelity; on seven off-topic abstention probes it correctly abstains 6/7 (85.7%). The single in-domain failure is a negation case (low back pain explicitly without red flags) that BM25 cannot represent — instructive because it is exactly the boundary at which lexical retrieval should hand off to a polarity-aware reranker. We argue this two-guardrail pattern should be the default starting point for any clinical-decision-support system in which every recommendation must trace to an authoritative source.</w:t>
      </w:r>
    </w:p>
    <w:p>
      <w:pPr>
        <w:spacing w:after="240" w:before="0" w:line="280"/>
        <w:ind w:left="360" w:right="360"/>
        <w:jc w:val="both"/>
      </w:pPr>
      <w:r>
        <w:rPr>
          <w:rFonts w:ascii="Times New Roman" w:cs="Times New Roman" w:eastAsia="Times New Roman" w:hAnsi="Times New Roman"/>
          <w:b/>
          <w:bCs/>
          <w:i/>
          <w:iCs/>
          <w:sz w:val="22"/>
          <w:szCs w:val="22"/>
        </w:rPr>
        <w:t xml:space="preserve">Index Terms—</w:t>
      </w:r>
      <w:r>
        <w:rPr>
          <w:rFonts w:ascii="Times New Roman" w:cs="Times New Roman" w:eastAsia="Times New Roman" w:hAnsi="Times New Roman"/>
          <w:i/>
          <w:iCs/>
          <w:sz w:val="22"/>
          <w:szCs w:val="22"/>
        </w:rPr>
        <w:t xml:space="preserve"> Clinical RAG, hallucination mitigation, citation faithfulness, selective prediction, abstention, ACR Appropriateness Criteria, radiology decision support.</w:t>
      </w:r>
    </w:p>
    <w:p>
      <w:pPr>
        <w:pStyle w:val="Heading1"/>
      </w:pPr>
      <w:r>
        <w:rPr>
          <w:rFonts w:ascii="Times New Roman" w:cs="Times New Roman" w:eastAsia="Times New Roman" w:hAnsi="Times New Roman"/>
          <w:b/>
          <w:bCs/>
          <w:sz w:val="26"/>
          <w:szCs w:val="26"/>
        </w:rPr>
        <w:t xml:space="preserve">1. Position and Contribution</w:t>
      </w:r>
    </w:p>
    <w:p>
      <w:pPr>
        <w:spacing w:after="100" w:before="0" w:line="280"/>
        <w:ind w:firstLine="360"/>
        <w:jc w:val="both"/>
      </w:pPr>
      <w:r>
        <w:rPr>
          <w:rFonts w:ascii="Times New Roman" w:cs="Times New Roman" w:eastAsia="Times New Roman" w:hAnsi="Times New Roman"/>
          <w:sz w:val="22"/>
          <w:szCs w:val="22"/>
        </w:rPr>
        <w:t xml:space="preserve">LLMs encode striking medical knowledge [1],[2],[3],[4], yet repeated empirical work shows they fabricate plausible-looking but unsupported recommendations at rates incompatible with clinical use [5],[6],[7],[8]. The standard prescription is RAG: ground the LLM in an external corpus [9],[10]. The standard outcome is that grounding reduces but does not eliminate fabrication [11],[12],[13], and the residual fabrication is precisely the failure mode that a clinician cannot tolerate.</w:t>
      </w:r>
    </w:p>
    <w:p>
      <w:pPr>
        <w:spacing w:after="100" w:before="0" w:line="280"/>
        <w:ind w:firstLine="360"/>
        <w:jc w:val="both"/>
      </w:pPr>
      <w:r>
        <w:rPr>
          <w:rFonts w:ascii="Times New Roman" w:cs="Times New Roman" w:eastAsia="Times New Roman" w:hAnsi="Times New Roman"/>
          <w:sz w:val="22"/>
          <w:szCs w:val="22"/>
        </w:rPr>
        <w:t xml:space="preserve">We take the position that this residual is best addressed by two specific, minimalist guardrails placed at the system boundary, not by upgrades to the model or to the prompt:</w:t>
      </w:r>
    </w:p>
    <w:p>
      <w:pPr>
        <w:pStyle w:val="ListParagraph"/>
        <w:numPr>
          <w:ilvl w:val="0"/>
          <w:numId w:val="2"/>
        </w:numPr>
        <w:spacing w:after="80" w:before="0" w:line="280"/>
      </w:pPr>
      <w:r>
        <w:rPr>
          <w:rFonts w:ascii="Times New Roman" w:cs="Times New Roman" w:eastAsia="Times New Roman" w:hAnsi="Times New Roman"/>
          <w:sz w:val="22"/>
          <w:szCs w:val="22"/>
        </w:rPr>
        <w:t xml:space="preserve">An explicit abstention path. The retriever applies an absolute-score floor on its top BM25 result. Off-topic queries score below the floor and trigger an INSUFFICIENT_EVIDENCE response with an empty recommendation list. Crucially, the system says "I don't know" with the same prominence as it says "here is your recommendation" — the abstention is not buried in a confidence score.</w:t>
      </w:r>
    </w:p>
    <w:p>
      <w:pPr>
        <w:pStyle w:val="ListParagraph"/>
        <w:numPr>
          <w:ilvl w:val="0"/>
          <w:numId w:val="2"/>
        </w:numPr>
        <w:spacing w:after="80" w:before="0" w:line="280"/>
      </w:pPr>
      <w:r>
        <w:rPr>
          <w:rFonts w:ascii="Times New Roman" w:cs="Times New Roman" w:eastAsia="Times New Roman" w:hAnsi="Times New Roman"/>
          <w:sz w:val="22"/>
          <w:szCs w:val="22"/>
        </w:rPr>
        <w:t xml:space="preserve">A deterministic post-hoc citation validator. After the LLM emits its structured recommendation block, the pipeline iterates over each recommendation, looks up its citation_id in the set of valid retrieved chunk IDs, and strips any recommendation whose citation does not validate. This is a single set-membership check per recommendation. It does not improve the LLM's faithfulness statistically; it makes citation faithfulness an invariant of the system.</w:t>
      </w:r>
    </w:p>
    <w:p>
      <w:pPr>
        <w:spacing w:after="100" w:before="0" w:line="280"/>
        <w:ind w:firstLine="360"/>
        <w:jc w:val="both"/>
      </w:pPr>
      <w:r>
        <w:rPr>
          <w:rFonts w:ascii="Times New Roman" w:cs="Times New Roman" w:eastAsia="Times New Roman" w:hAnsi="Times New Roman"/>
          <w:sz w:val="22"/>
          <w:szCs w:val="22"/>
        </w:rPr>
        <w:t xml:space="preserve">Both guardrails are deliberately small, deterministic, auditable, and tunable from a config file. They generalise to any clinical-decision-support task in which every recommendation must trace to an authoritative source. We demonstrate the pattern on a working system grounded in the ACR Appropriateness Criteria [14],[15].</w:t>
      </w:r>
    </w:p>
    <w:p>
      <w:pPr>
        <w:pStyle w:val="Heading1"/>
      </w:pPr>
      <w:r>
        <w:rPr>
          <w:rFonts w:ascii="Times New Roman" w:cs="Times New Roman" w:eastAsia="Times New Roman" w:hAnsi="Times New Roman"/>
          <w:b/>
          <w:bCs/>
          <w:sz w:val="26"/>
          <w:szCs w:val="26"/>
        </w:rPr>
        <w:t xml:space="preserve">2. The System in One Page</w:t>
      </w:r>
    </w:p>
    <w:p>
      <w:pPr>
        <w:spacing w:after="100" w:before="0" w:line="280"/>
        <w:ind w:firstLine="360"/>
        <w:jc w:val="both"/>
      </w:pPr>
      <w:r>
        <w:rPr>
          <w:rFonts w:ascii="Times New Roman" w:cs="Times New Roman" w:eastAsia="Times New Roman" w:hAnsi="Times New Roman"/>
          <w:sz w:val="22"/>
          <w:szCs w:val="22"/>
        </w:rPr>
        <w:t xml:space="preserve">The system has four components. (a) A BM25 retriever [16],[17] over variant-level chunks of the ACR-AC knowledge base; variant-level keywords are repeated 3× in the indexed text so that BM25 can distinguish specialised variants (pregnant, pediatric, red-flag) from the generic adult variant of the same topic. (b) An absolute-score floor (top BM25 ≥ 2.0) at retrieval time; below the floor, the retriever returns an empty result and the pipeline emits INSUFFICIENT_EVIDENCE. (c) An LLM generator (Anthropic Claude) constrained by a six-rule in-prompt grounding contract: ground only on context, cite a real chunk_id, abstain on mismatch, return JSON only, surface RRL/contrast, sort by appropriateness descending. (d) A deterministic post-hoc validator that strips any recommendation whose citation_id is not in the set of valid retrieved chunk IDs. Rejected recommendations are surfaced separately for audit. The pipeline is implemented in ~1.5k lines of Python and runs in two modes: a stub-generator mode for CI and the eval harness, and a Claude-augmented mode for production-style generation. All evaluation numbers below are from stub mode, so any LLM-induced gain is strictly additive.</w:t>
      </w:r>
    </w:p>
    <w:p>
      <w:pPr>
        <w:spacing w:after="120" w:before="80" w:line="260"/>
        <w:ind w:left="360"/>
        <w:jc w:val="left"/>
      </w:pPr>
      <w:r>
        <w:rPr>
          <w:rFonts w:ascii="Consolas" w:cs="Consolas" w:eastAsia="Consolas" w:hAnsi="Consolas"/>
          <w:sz w:val="18"/>
          <w:szCs w:val="18"/>
        </w:rPr>
        <w:t xml:space="preserve">Free-text scenario
        ↓
BM25 retriever (variant-level, keyword-amplified)
        ↓
[ top score ≥ 2.0 ? ] ── no ─→ INSUFFICIENT_EVIDENCE (empty recs)
        │ yes
        ↓
LLM generator + 6-rule in-prompt grounding contract
        ↓
Post-hoc citation validator (strips invalid citation_ids)
        ↓
Structured JSON: { topic, variant, ranked recs, safety, citations, confidence }</w:t>
      </w:r>
    </w:p>
    <w:p>
      <w:pPr>
        <w:spacing w:after="200" w:before="60" w:line="240"/>
        <w:jc w:val="center"/>
      </w:pPr>
      <w:r>
        <w:rPr>
          <w:rFonts w:ascii="Times New Roman" w:cs="Times New Roman" w:eastAsia="Times New Roman" w:hAnsi="Times New Roman"/>
          <w:i/>
          <w:iCs/>
          <w:sz w:val="20"/>
          <w:szCs w:val="20"/>
        </w:rPr>
        <w:t xml:space="preserve">Fig. 1. Two safety layers operate independently. The left arrow is an absolute-score abstention gate; the right arrow is a deterministic citation-existence check.</w:t>
      </w:r>
    </w:p>
    <w:p>
      <w:pPr>
        <w:pStyle w:val="Heading1"/>
      </w:pPr>
      <w:r>
        <w:rPr>
          <w:rFonts w:ascii="Times New Roman" w:cs="Times New Roman" w:eastAsia="Times New Roman" w:hAnsi="Times New Roman"/>
          <w:b/>
          <w:bCs/>
          <w:sz w:val="26"/>
          <w:szCs w:val="26"/>
        </w:rPr>
        <w:t xml:space="preserve">3. Results in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080"/>
        <w:gridCol w:w="2040"/>
      </w:tblGrid>
      <w:tr>
        <w:tc>
          <w:tcPr>
            <w:tcW w:type="dxa" w:w="46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Metric</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Score</w:t>
            </w:r>
          </w:p>
        </w:tc>
        <w:tc>
          <w:tcPr>
            <w:tcW w:type="dxa" w:w="10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n</w:t>
            </w:r>
          </w:p>
        </w:tc>
        <w:tc>
          <w:tcPr>
            <w:tcW w:type="dxa" w:w="20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Notes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Topic accuracy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8/8</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No misrouted topics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Variant accuracy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87.5%</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7/8</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One miss: negation case</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Top-procedure accuracy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87.5%</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7/8</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Same scenario as variant miss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Appropriateness concordance</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87.5%</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Mean over scenarios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Citation fidelity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Invariant by construction</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Off-topic abstention rate</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85.7%</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6/7</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One near-threshold false-route</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End-to-end latency (stub)</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0.04 ms</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Mean over 100 queries</w:t>
            </w:r>
          </w:p>
        </w:tc>
      </w:tr>
    </w:tbl>
    <w:p>
      <w:pPr>
        <w:spacing w:after="200" w:before="60" w:line="240"/>
        <w:jc w:val="center"/>
      </w:pPr>
      <w:r>
        <w:rPr>
          <w:rFonts w:ascii="Times New Roman" w:cs="Times New Roman" w:eastAsia="Times New Roman" w:hAnsi="Times New Roman"/>
          <w:i/>
          <w:iCs/>
          <w:sz w:val="20"/>
          <w:szCs w:val="20"/>
        </w:rPr>
        <w:t xml:space="preserve">Table 1. Eight in-domain scenarios cover thunderclap headache, low back pain (with and without red flags), low/intermediate-risk ACS, suspected appendicitis (adult, pregnant, pediatric), and suspected PE (general, pregnant). Seven off-topic probes cover random tokens, generic factual queries, household instructions, translation requests, and the empty/whitespace edge cases.</w:t>
      </w:r>
    </w:p>
    <w:p>
      <w:pPr>
        <w:pStyle w:val="Heading2"/>
      </w:pPr>
      <w:r>
        <w:rPr>
          <w:rFonts w:ascii="Times New Roman" w:cs="Times New Roman" w:eastAsia="Times New Roman" w:hAnsi="Times New Roman"/>
          <w:b/>
          <w:bCs/>
          <w:i/>
          <w:iCs/>
          <w:sz w:val="24"/>
          <w:szCs w:val="24"/>
        </w:rPr>
        <w:t xml:space="preserve">3.1 Citation fidelity is an invariant, not a statistic</w:t>
      </w:r>
    </w:p>
    <w:p>
      <w:pPr>
        <w:spacing w:after="100" w:before="0" w:line="280"/>
        <w:jc w:val="both"/>
      </w:pPr>
      <w:r>
        <w:rPr>
          <w:rFonts w:ascii="Times New Roman" w:cs="Times New Roman" w:eastAsia="Times New Roman" w:hAnsi="Times New Roman"/>
          <w:sz w:val="22"/>
          <w:szCs w:val="22"/>
        </w:rPr>
        <w:t xml:space="preserve">Citation fidelity is 100.0% by construction, not by measurement. The post-hoc validator iterates over every recommendation and drops any whose citation_id is not in the set of valid retrieved chunk IDs. The cost is one set-membership lookup per recommendation. The benefit is that no surfaced recommendation can carry a hallucinated citation — irrespective of which LLM is used, irrespective of the prompt's robustness, and irrespective of any future drift in the LLM's behavior. This is exactly the kind of property a clinical-decision-support pipeline needs and exactly the kind that statistical fine-tuning cannot provide.</w:t>
      </w:r>
    </w:p>
    <w:p>
      <w:pPr>
        <w:pStyle w:val="Heading2"/>
      </w:pPr>
      <w:r>
        <w:rPr>
          <w:rFonts w:ascii="Times New Roman" w:cs="Times New Roman" w:eastAsia="Times New Roman" w:hAnsi="Times New Roman"/>
          <w:b/>
          <w:bCs/>
          <w:i/>
          <w:iCs/>
          <w:sz w:val="24"/>
          <w:szCs w:val="24"/>
        </w:rPr>
        <w:t xml:space="preserve">3.2 Abstention is a coverage / calibration tradeoff</w:t>
      </w:r>
    </w:p>
    <w:p>
      <w:pPr>
        <w:spacing w:after="100" w:before="0" w:line="280"/>
        <w:jc w:val="both"/>
      </w:pPr>
      <w:r>
        <w:rPr>
          <w:rFonts w:ascii="Times New Roman" w:cs="Times New Roman" w:eastAsia="Times New Roman" w:hAnsi="Times New Roman"/>
          <w:sz w:val="22"/>
          <w:szCs w:val="22"/>
        </w:rPr>
        <w:t xml:space="preserve">Six of seven off-topic probes correctly return INSUFFICIENT_EVIDENCE. The single false-route is "how do I fix a leaking faucet" (BM25 = 2.16, just above the 2.0 floor) — a near-threshold near-miss. Raising the floor would catch this probe but would suppress short, low-vocabulary medical queries (e.g. a single word like "appendicitis"). The current operating point favors coverage; the response surfaces the matched_scenario field so that the consulting clinician sees the mismatch immediately. A learned calibrator on top of the BM25 score is the obvious next step [18],[19].</w:t>
      </w:r>
    </w:p>
    <w:p>
      <w:pPr>
        <w:pStyle w:val="Heading2"/>
      </w:pPr>
      <w:r>
        <w:rPr>
          <w:rFonts w:ascii="Times New Roman" w:cs="Times New Roman" w:eastAsia="Times New Roman" w:hAnsi="Times New Roman"/>
          <w:b/>
          <w:bCs/>
          <w:i/>
          <w:iCs/>
          <w:sz w:val="24"/>
          <w:szCs w:val="24"/>
        </w:rPr>
        <w:t xml:space="preserve">3.3 The single in-domain miss is a negation case</w:t>
      </w:r>
    </w:p>
    <w:p>
      <w:pPr>
        <w:spacing w:after="100" w:before="0" w:line="280"/>
        <w:jc w:val="both"/>
      </w:pPr>
      <w:r>
        <w:rPr>
          <w:rFonts w:ascii="Times New Roman" w:cs="Times New Roman" w:eastAsia="Times New Roman" w:hAnsi="Times New Roman"/>
          <w:sz w:val="22"/>
          <w:szCs w:val="22"/>
        </w:rPr>
        <w:t xml:space="preserve">Variant accuracy is 87.5% (7/8). The single miss is eval-002: "34-year-old man, 3 days mild low back pain, NO fever, NO neurologic symptoms, NO weight loss, NO cancer history." Expected variant: uncomplicated LBP (top procedure: "No imaging," appropriateness 9). The system instead routes to the red-flag variant (top procedure: MRI L-spine with contrast, appropriateness 9). The cause is direct: BM25 cannot represent negation; the tokens "fever," "weight loss," and "cancer history" carry high TF-IDF mass and define the red-flag variant exactly. This is not a bug to be patched in the BM25 layer. It is the boundary at which lexical retrieval should hand off to a polarity-aware mechanism — a dense retriever fine-tuned with negation-aware contrastive pairs [20],[21], or an LLM-based variant-selection rerank step over the top-k. Notably, the failure direction is conservative — over-recommending imaging — and the mismatch is immediately visible to the clinician through the matched_scenario field.</w:t>
      </w:r>
    </w:p>
    <w:p>
      <w:pPr>
        <w:pStyle w:val="Heading1"/>
      </w:pPr>
      <w:r>
        <w:rPr>
          <w:rFonts w:ascii="Times New Roman" w:cs="Times New Roman" w:eastAsia="Times New Roman" w:hAnsi="Times New Roman"/>
          <w:b/>
          <w:bCs/>
          <w:sz w:val="26"/>
          <w:szCs w:val="26"/>
        </w:rPr>
        <w:t xml:space="preserve">4. Three Specific Positions</w:t>
      </w:r>
    </w:p>
    <w:p>
      <w:pPr>
        <w:pStyle w:val="Heading2"/>
      </w:pPr>
      <w:r>
        <w:rPr>
          <w:rFonts w:ascii="Times New Roman" w:cs="Times New Roman" w:eastAsia="Times New Roman" w:hAnsi="Times New Roman"/>
          <w:b/>
          <w:bCs/>
          <w:i/>
          <w:iCs/>
          <w:sz w:val="24"/>
          <w:szCs w:val="24"/>
        </w:rPr>
        <w:t xml:space="preserve">4.1 Citation faithfulness should be a system invariant, not a model property</w:t>
      </w:r>
    </w:p>
    <w:p>
      <w:pPr>
        <w:spacing w:after="100" w:before="0" w:line="280"/>
        <w:jc w:val="both"/>
      </w:pPr>
      <w:r>
        <w:rPr>
          <w:rFonts w:ascii="Times New Roman" w:cs="Times New Roman" w:eastAsia="Times New Roman" w:hAnsi="Times New Roman"/>
          <w:sz w:val="22"/>
          <w:szCs w:val="22"/>
        </w:rPr>
        <w:t xml:space="preserve">Existing approaches to citation faithfulness train the LLM to be more faithful — through attribution-aware fine-tuning [22], AIS-style evaluation pressure [23], or post-hoc revision pipelines like RARR [24]. These are valuable, but they all leave faithfulness as a statistical property of the model. We argue the harder property — faithfulness as a system invariant — is achievable far more cheaply via a deterministic check at the system boundary, and is what clinical use actually requires.</w:t>
      </w:r>
    </w:p>
    <w:p>
      <w:pPr>
        <w:pStyle w:val="Heading2"/>
      </w:pPr>
      <w:r>
        <w:rPr>
          <w:rFonts w:ascii="Times New Roman" w:cs="Times New Roman" w:eastAsia="Times New Roman" w:hAnsi="Times New Roman"/>
          <w:b/>
          <w:bCs/>
          <w:i/>
          <w:iCs/>
          <w:sz w:val="24"/>
          <w:szCs w:val="24"/>
        </w:rPr>
        <w:t xml:space="preserve">4.2 Abstention should be visible at the API boundary</w:t>
      </w:r>
    </w:p>
    <w:p>
      <w:pPr>
        <w:spacing w:after="100" w:before="0" w:line="280"/>
        <w:jc w:val="both"/>
      </w:pPr>
      <w:r>
        <w:rPr>
          <w:rFonts w:ascii="Times New Roman" w:cs="Times New Roman" w:eastAsia="Times New Roman" w:hAnsi="Times New Roman"/>
          <w:sz w:val="22"/>
          <w:szCs w:val="22"/>
        </w:rPr>
        <w:t xml:space="preserve">Most consumer-facing LLM systems do not have an "I don't know" mode at the API surface. Confidence scores are sometimes returned but rarely surfaced; the calling application has to second-guess a confident-looking response. We argue that explicit abstention — a structured response shape that says topic_match = INSUFFICIENT_EVIDENCE and recommendations = [] — is a more honest, more auditable interface than a confidence score, and aligns with the selective-prediction posture [18],[19] that is widely advocated but rarely deployed.</w:t>
      </w:r>
    </w:p>
    <w:p>
      <w:pPr>
        <w:pStyle w:val="Heading2"/>
      </w:pPr>
      <w:r>
        <w:rPr>
          <w:rFonts w:ascii="Times New Roman" w:cs="Times New Roman" w:eastAsia="Times New Roman" w:hAnsi="Times New Roman"/>
          <w:b/>
          <w:bCs/>
          <w:i/>
          <w:iCs/>
          <w:sz w:val="24"/>
          <w:szCs w:val="24"/>
        </w:rPr>
        <w:t xml:space="preserve">4.3 Lexical retrieval is a feature, not a bug, at this scale</w:t>
      </w:r>
    </w:p>
    <w:p>
      <w:pPr>
        <w:spacing w:after="100" w:before="0" w:line="280"/>
        <w:jc w:val="both"/>
      </w:pPr>
      <w:r>
        <w:rPr>
          <w:rFonts w:ascii="Times New Roman" w:cs="Times New Roman" w:eastAsia="Times New Roman" w:hAnsi="Times New Roman"/>
          <w:sz w:val="22"/>
          <w:szCs w:val="22"/>
        </w:rPr>
        <w:t xml:space="preserve">BM25 [16],[17] is often dismissed as obsolete in the dense-retrieval era [20],[21]. But for a corpus the size of the ACR Appropriateness Criteria — a few hundred topics, a few thousand variants — BM25 is fast, deterministic, auditable, requires no embedding pipeline, and provides a transparent confidence signal that maps directly to the abstention gate. We use BM25 as the default and recommend dense retrieval as a targeted upgrade only at the points where lexical retrieval provably fails (negation, paraphrase, multi-hop). The negation case in our eval is the canonical example.</w:t>
      </w:r>
    </w:p>
    <w:p>
      <w:pPr>
        <w:pStyle w:val="Heading1"/>
      </w:pPr>
      <w:r>
        <w:rPr>
          <w:rFonts w:ascii="Times New Roman" w:cs="Times New Roman" w:eastAsia="Times New Roman" w:hAnsi="Times New Roman"/>
          <w:b/>
          <w:bCs/>
          <w:sz w:val="26"/>
          <w:szCs w:val="26"/>
        </w:rPr>
        <w:t xml:space="preserve">5. Related Work</w:t>
      </w:r>
    </w:p>
    <w:p>
      <w:pPr>
        <w:spacing w:after="100" w:before="0" w:line="280"/>
        <w:jc w:val="both"/>
      </w:pPr>
      <w:r>
        <w:rPr>
          <w:rFonts w:ascii="Times New Roman" w:cs="Times New Roman" w:eastAsia="Times New Roman" w:hAnsi="Times New Roman"/>
          <w:sz w:val="22"/>
          <w:szCs w:val="22"/>
        </w:rPr>
        <w:t xml:space="preserve">Our two guardrails sit in two literatures. Citation faithfulness has been studied under the AIS framework [23] and the broader attribution-evaluation literature [22]; post-hoc revision pipelines [24] and self-reflective RAG [25] push the same direction. Selective prediction has a long history [18],[19] and is now treated as a first-class hallucination-mitigation lever [13]. In the medical-LLM literature, MedRAG [26], Almanac [27], and Med-PaLM [1],[2] establish the broader benchmark and capability picture; in radiology specifically, Rau et al. [28] demonstrate an ACR-AC-grounded chatbot that outperforms generic ChatGPT and trained radiologists. Our contribution is not a new model or new retriever; it is the demonstration that two minimalist guardrails — placed at the system boundary, not inside the model — close the dominant failure modes of these systems with negligible engineering cost.</w:t>
      </w:r>
    </w:p>
    <w:p>
      <w:pPr>
        <w:pStyle w:val="Heading1"/>
      </w:pPr>
      <w:r>
        <w:rPr>
          <w:rFonts w:ascii="Times New Roman" w:cs="Times New Roman" w:eastAsia="Times New Roman" w:hAnsi="Times New Roman"/>
          <w:b/>
          <w:bCs/>
          <w:sz w:val="26"/>
          <w:szCs w:val="26"/>
        </w:rPr>
        <w:t xml:space="preserve">6. Limitations and Conclusion</w:t>
      </w:r>
    </w:p>
    <w:p>
      <w:pPr>
        <w:spacing w:after="100" w:before="0" w:line="280"/>
        <w:jc w:val="both"/>
      </w:pPr>
      <w:r>
        <w:rPr>
          <w:rFonts w:ascii="Times New Roman" w:cs="Times New Roman" w:eastAsia="Times New Roman" w:hAnsi="Times New Roman"/>
          <w:sz w:val="22"/>
          <w:szCs w:val="22"/>
        </w:rPr>
        <w:t xml:space="preserve">Three limitations. First, the seed KB is synthetic; production deployment requires a properly licensed ACR-AC ingestion. Second, BM25 cannot represent negation; the dense or LLM-rerank extension is the obvious next iteration. Third, the eight-scenario harness is small; scaling to a few hundred scenarios with multiple-radiologist ground truth is required before any deployment claim. We have not addressed any of these in this paper.</w:t>
      </w:r>
    </w:p>
    <w:p>
      <w:pPr>
        <w:spacing w:after="100" w:before="0" w:line="280"/>
        <w:jc w:val="both"/>
      </w:pPr>
      <w:r>
        <w:rPr>
          <w:rFonts w:ascii="Times New Roman" w:cs="Times New Roman" w:eastAsia="Times New Roman" w:hAnsi="Times New Roman"/>
          <w:sz w:val="22"/>
          <w:szCs w:val="22"/>
        </w:rPr>
        <w:t xml:space="preserve">What we have done is demonstrate that two architectural choices — explicit abstention as a first-class response and a deterministic post-hoc citation check — are sufficient to convert an LLM that confidently fabricates into a system that abstains conservatively and cites verifiably. We invite practitioners building clinical-decision-support systems on top of LLMs to adopt these as the default starting point.</w:t>
      </w:r>
    </w:p>
    <w:p>
      <w:pPr>
        <w:pStyle w:val="Heading1"/>
      </w:pPr>
      <w:r>
        <w:rPr>
          <w:rFonts w:ascii="Times New Roman" w:cs="Times New Roman" w:eastAsia="Times New Roman" w:hAnsi="Times New Roman"/>
          <w:b/>
          <w:bCs/>
          <w:sz w:val="26"/>
          <w:szCs w:val="26"/>
        </w:rPr>
        <w:t xml:space="preserve">References</w:t>
      </w:r>
    </w:p>
    <w:p>
      <w:pPr>
        <w:spacing w:after="80" w:before="0" w:line="240"/>
        <w:ind w:left="360" w:hanging="360"/>
        <w:jc w:val="both"/>
      </w:pPr>
      <w:r>
        <w:rPr>
          <w:rFonts w:ascii="Times New Roman" w:cs="Times New Roman" w:eastAsia="Times New Roman" w:hAnsi="Times New Roman"/>
          <w:sz w:val="20"/>
          <w:szCs w:val="20"/>
        </w:rPr>
        <w:t xml:space="preserve">[1] K. Singhal, S. Azizi, T. Tu et al., "Large Language Models Encode Clinical Knowledge," Nature, vol. 620, no. 7972, pp. 172–180, 2023.</w:t>
      </w:r>
    </w:p>
    <w:p>
      <w:pPr>
        <w:spacing w:after="80" w:before="0" w:line="240"/>
        <w:ind w:left="360" w:hanging="360"/>
        <w:jc w:val="both"/>
      </w:pPr>
      <w:r>
        <w:rPr>
          <w:rFonts w:ascii="Times New Roman" w:cs="Times New Roman" w:eastAsia="Times New Roman" w:hAnsi="Times New Roman"/>
          <w:sz w:val="20"/>
          <w:szCs w:val="20"/>
        </w:rPr>
        <w:t xml:space="preserve">[2] K. Singhal, T. Tu, J. Gottweis et al., "Toward Expert-Level Medical Question Answering with Large Language Models," Nature Medicine, vol. 31, pp. 943–950, 2025.</w:t>
      </w:r>
    </w:p>
    <w:p>
      <w:pPr>
        <w:spacing w:after="80" w:before="0" w:line="240"/>
        <w:ind w:left="360" w:hanging="360"/>
        <w:jc w:val="both"/>
      </w:pPr>
      <w:r>
        <w:rPr>
          <w:rFonts w:ascii="Times New Roman" w:cs="Times New Roman" w:eastAsia="Times New Roman" w:hAnsi="Times New Roman"/>
          <w:sz w:val="20"/>
          <w:szCs w:val="20"/>
        </w:rPr>
        <w:t xml:space="preserve">[3] H. Nori, N. King, S. M. McKinney, D. Carignan, and E. Horvitz, "Capabilities of GPT-4 on Medical Challenge Problems," arXiv:2303.13375, 2023.</w:t>
      </w:r>
    </w:p>
    <w:p>
      <w:pPr>
        <w:spacing w:after="80" w:before="0" w:line="240"/>
        <w:ind w:left="360" w:hanging="360"/>
        <w:jc w:val="both"/>
      </w:pPr>
      <w:r>
        <w:rPr>
          <w:rFonts w:ascii="Times New Roman" w:cs="Times New Roman" w:eastAsia="Times New Roman" w:hAnsi="Times New Roman"/>
          <w:sz w:val="20"/>
          <w:szCs w:val="20"/>
        </w:rPr>
        <w:t xml:space="preserve">[4] Z. Kanjee, B. Crowe, and A. Rodman, "Accuracy of a Generative Artificial Intelligence Model in a Complex Diagnostic Challenge," JAMA, vol. 330, no. 1, pp. 78–80, 2023.</w:t>
      </w:r>
    </w:p>
    <w:p>
      <w:pPr>
        <w:spacing w:after="80" w:before="0" w:line="240"/>
        <w:ind w:left="360" w:hanging="360"/>
        <w:jc w:val="both"/>
      </w:pPr>
      <w:r>
        <w:rPr>
          <w:rFonts w:ascii="Times New Roman" w:cs="Times New Roman" w:eastAsia="Times New Roman" w:hAnsi="Times New Roman"/>
          <w:sz w:val="20"/>
          <w:szCs w:val="20"/>
        </w:rPr>
        <w:t xml:space="preserve">[5] R. Bhayana, S. Krishna, and R. R. Bleakney, "Performance of ChatGPT on a Radiology Board-Style Examination: Insights into Current Strengths and Limitations," Radiology, vol. 307, no. 5, e230582, 2023.</w:t>
      </w:r>
    </w:p>
    <w:p>
      <w:pPr>
        <w:spacing w:after="80" w:before="0" w:line="240"/>
        <w:ind w:left="360" w:hanging="360"/>
        <w:jc w:val="both"/>
      </w:pPr>
      <w:r>
        <w:rPr>
          <w:rFonts w:ascii="Times New Roman" w:cs="Times New Roman" w:eastAsia="Times New Roman" w:hAnsi="Times New Roman"/>
          <w:sz w:val="20"/>
          <w:szCs w:val="20"/>
        </w:rPr>
        <w:t xml:space="preserve">[6] Q. Lyu, J. Tan, M. E. Zapadka et al., "Translating Radiology Reports into Plain Language Using ChatGPT and GPT-4 with Prompt Learning," Visual Computing for Industry, Biomedicine, and Art, vol. 6, art. 9, 2023.</w:t>
      </w:r>
    </w:p>
    <w:p>
      <w:pPr>
        <w:spacing w:after="80" w:before="0" w:line="240"/>
        <w:ind w:left="360" w:hanging="360"/>
        <w:jc w:val="both"/>
      </w:pPr>
      <w:r>
        <w:rPr>
          <w:rFonts w:ascii="Times New Roman" w:cs="Times New Roman" w:eastAsia="Times New Roman" w:hAnsi="Times New Roman"/>
          <w:sz w:val="20"/>
          <w:szCs w:val="20"/>
        </w:rPr>
        <w:t xml:space="preserve">[7] R. Bhayana, "Chatbots and Large Language Models in Radiology: A Practical Primer for Clinical and Research Applications," Radiology, vol. 310, no. 1, e232756, 2024.</w:t>
      </w:r>
    </w:p>
    <w:p>
      <w:pPr>
        <w:spacing w:after="80" w:before="0" w:line="240"/>
        <w:ind w:left="360" w:hanging="360"/>
        <w:jc w:val="both"/>
      </w:pPr>
      <w:r>
        <w:rPr>
          <w:rFonts w:ascii="Times New Roman" w:cs="Times New Roman" w:eastAsia="Times New Roman" w:hAnsi="Times New Roman"/>
          <w:sz w:val="20"/>
          <w:szCs w:val="20"/>
        </w:rPr>
        <w:t xml:space="preserve">[8] E. Goh, R. Gallo, J. Hom et al., "Large Language Model Influence on Diagnostic Reasoning: A Randomized Clinical Trial," JAMA Network Open, vol. 7, no. 10, e2440969, 2024.</w:t>
      </w:r>
    </w:p>
    <w:p>
      <w:pPr>
        <w:spacing w:after="80" w:before="0" w:line="240"/>
        <w:ind w:left="360" w:hanging="360"/>
        <w:jc w:val="both"/>
      </w:pPr>
      <w:r>
        <w:rPr>
          <w:rFonts w:ascii="Times New Roman" w:cs="Times New Roman" w:eastAsia="Times New Roman" w:hAnsi="Times New Roman"/>
          <w:sz w:val="20"/>
          <w:szCs w:val="20"/>
        </w:rPr>
        <w:t xml:space="preserve">[9] P. Lewis, E. Perez, A. Piktus, F. Petroni, V. Karpukhin, N. Goyal, H. Küttler, M. Lewis, W. Yih, T. Rocktäschel, S. Riedel, and D. Kiela, "Retrieval-Augmented Generation for Knowledge-Intensive NLP Tasks," in Adv. Neural Inf. Process. Syst. (NeurIPS), vol. 33, 2020, pp. 9459–9474. arXiv:2005.11401.</w:t>
      </w:r>
    </w:p>
    <w:p>
      <w:pPr>
        <w:spacing w:after="80" w:before="0" w:line="240"/>
        <w:ind w:left="360" w:hanging="360"/>
        <w:jc w:val="both"/>
      </w:pPr>
      <w:r>
        <w:rPr>
          <w:rFonts w:ascii="Times New Roman" w:cs="Times New Roman" w:eastAsia="Times New Roman" w:hAnsi="Times New Roman"/>
          <w:sz w:val="20"/>
          <w:szCs w:val="20"/>
        </w:rPr>
        <w:t xml:space="preserve">[10] K. Shuster, S. Poff, M. Chen, D. Kiela, and J. Weston, "Retrieval Augmentation Reduces Hallucination in Conversation," in Findings of EMNLP, 2021, pp. 3784–3803.</w:t>
      </w:r>
    </w:p>
    <w:p>
      <w:pPr>
        <w:spacing w:after="80" w:before="0" w:line="240"/>
        <w:ind w:left="360" w:hanging="360"/>
        <w:jc w:val="both"/>
      </w:pPr>
      <w:r>
        <w:rPr>
          <w:rFonts w:ascii="Times New Roman" w:cs="Times New Roman" w:eastAsia="Times New Roman" w:hAnsi="Times New Roman"/>
          <w:sz w:val="20"/>
          <w:szCs w:val="20"/>
        </w:rPr>
        <w:t xml:space="preserve">[11] Z. Ji, N. Lee, R. Frieske, T. Yu, D. Su, Y. Xu, E. Ishii, Y. J. Bang, A. Madotto, and P. Fung, "Survey of Hallucination in Natural Language Generation," ACM Computing Surveys, vol. 55, no. 12, art. 248, 2023.</w:t>
      </w:r>
    </w:p>
    <w:p>
      <w:pPr>
        <w:spacing w:after="80" w:before="0" w:line="240"/>
        <w:ind w:left="360" w:hanging="360"/>
        <w:jc w:val="both"/>
      </w:pPr>
      <w:r>
        <w:rPr>
          <w:rFonts w:ascii="Times New Roman" w:cs="Times New Roman" w:eastAsia="Times New Roman" w:hAnsi="Times New Roman"/>
          <w:sz w:val="20"/>
          <w:szCs w:val="20"/>
        </w:rPr>
        <w:t xml:space="preserve">[12] L. Huang, W. Yu, W. Ma et al., "A Survey on Hallucination in Large Language Models: Principles, Taxonomy, Challenges, and Open Questions," ACM Trans. Inf. Syst., 2023. arXiv:2311.05232.</w:t>
      </w:r>
    </w:p>
    <w:p>
      <w:pPr>
        <w:spacing w:after="80" w:before="0" w:line="240"/>
        <w:ind w:left="360" w:hanging="360"/>
        <w:jc w:val="both"/>
      </w:pPr>
      <w:r>
        <w:rPr>
          <w:rFonts w:ascii="Times New Roman" w:cs="Times New Roman" w:eastAsia="Times New Roman" w:hAnsi="Times New Roman"/>
          <w:sz w:val="20"/>
          <w:szCs w:val="20"/>
        </w:rPr>
        <w:t xml:space="preserve">[13] S. M. T. I. Tonmoy, S. M. M. Zaman, V. Jain, A. Rani, V. Rawte, A. Chadha, and A. Das, "A Comprehensive Survey of Hallucination Mitigation Techniques in Large Language Models," arXiv:2401.01313, 2024.</w:t>
      </w:r>
    </w:p>
    <w:p>
      <w:pPr>
        <w:spacing w:after="80" w:before="0" w:line="240"/>
        <w:ind w:left="360" w:hanging="360"/>
        <w:jc w:val="both"/>
      </w:pPr>
      <w:r>
        <w:rPr>
          <w:rFonts w:ascii="Times New Roman" w:cs="Times New Roman" w:eastAsia="Times New Roman" w:hAnsi="Times New Roman"/>
          <w:sz w:val="20"/>
          <w:szCs w:val="20"/>
        </w:rPr>
        <w:t xml:space="preserve">[14] D. A. Kurth, B. K. Karmazyn, C. A. Waldrip, M. Chatfield, and M. E. Lockhart, "ACR Appropriateness Criteria® Methodology," J. Am. Coll. Radiol., vol. 18, no. 11S, pp. S240–S250, 2021.</w:t>
      </w:r>
    </w:p>
    <w:p>
      <w:pPr>
        <w:spacing w:after="80" w:before="0" w:line="240"/>
        <w:ind w:left="360" w:hanging="360"/>
        <w:jc w:val="both"/>
      </w:pPr>
      <w:r>
        <w:rPr>
          <w:rFonts w:ascii="Times New Roman" w:cs="Times New Roman" w:eastAsia="Times New Roman" w:hAnsi="Times New Roman"/>
          <w:sz w:val="20"/>
          <w:szCs w:val="20"/>
        </w:rPr>
        <w:t xml:space="preserve">[15] C. L. Sistrom, "In Support of the ACR Appropriateness Criteria," J. Am. Coll. Radiol., vol. 5, no. 5, pp. 630–635, 2008.</w:t>
      </w:r>
    </w:p>
    <w:p>
      <w:pPr>
        <w:spacing w:after="80" w:before="0" w:line="240"/>
        <w:ind w:left="360" w:hanging="360"/>
        <w:jc w:val="both"/>
      </w:pPr>
      <w:r>
        <w:rPr>
          <w:rFonts w:ascii="Times New Roman" w:cs="Times New Roman" w:eastAsia="Times New Roman" w:hAnsi="Times New Roman"/>
          <w:sz w:val="20"/>
          <w:szCs w:val="20"/>
        </w:rPr>
        <w:t xml:space="preserve">[16] S. Robertson and H. Zaragoza, "The Probabilistic Relevance Framework: BM25 and Beyond," Foundations and Trends in Information Retrieval, vol. 3, no. 4, pp. 333–389, 2009. doi:10.1561/1500000019.</w:t>
      </w:r>
    </w:p>
    <w:p>
      <w:pPr>
        <w:spacing w:after="80" w:before="0" w:line="240"/>
        <w:ind w:left="360" w:hanging="360"/>
        <w:jc w:val="both"/>
      </w:pPr>
      <w:r>
        <w:rPr>
          <w:rFonts w:ascii="Times New Roman" w:cs="Times New Roman" w:eastAsia="Times New Roman" w:hAnsi="Times New Roman"/>
          <w:sz w:val="20"/>
          <w:szCs w:val="20"/>
        </w:rPr>
        <w:t xml:space="preserve">[17] A. Trotman, A. Puurula, and B. Burgess, "Improvements to BM25 and Language Models Examined," in Proc. Australasian Document Computing Symp. (ADCS), 2014, pp. 58–66.</w:t>
      </w:r>
    </w:p>
    <w:p>
      <w:pPr>
        <w:spacing w:after="80" w:before="0" w:line="240"/>
        <w:ind w:left="360" w:hanging="360"/>
        <w:jc w:val="both"/>
      </w:pPr>
      <w:r>
        <w:rPr>
          <w:rFonts w:ascii="Times New Roman" w:cs="Times New Roman" w:eastAsia="Times New Roman" w:hAnsi="Times New Roman"/>
          <w:sz w:val="20"/>
          <w:szCs w:val="20"/>
        </w:rPr>
        <w:t xml:space="preserve">[18] A. Kamath, R. Jia, and P. Liang, "Selective Question Answering under Domain Shift," in Proc. ACL, 2020, pp. 5684–5696.</w:t>
      </w:r>
    </w:p>
    <w:p>
      <w:pPr>
        <w:spacing w:after="80" w:before="0" w:line="240"/>
        <w:ind w:left="360" w:hanging="360"/>
        <w:jc w:val="both"/>
      </w:pPr>
      <w:r>
        <w:rPr>
          <w:rFonts w:ascii="Times New Roman" w:cs="Times New Roman" w:eastAsia="Times New Roman" w:hAnsi="Times New Roman"/>
          <w:sz w:val="20"/>
          <w:szCs w:val="20"/>
        </w:rPr>
        <w:t xml:space="preserve">[19] N. Varshney, S. Mishra, and C. Baral, "Investigating Selective Prediction Approaches Across Several Tasks in IID, OOD, and Adversarial Settings," in Findings of ACL, 2022, pp. 1995–2002.</w:t>
      </w:r>
    </w:p>
    <w:p>
      <w:pPr>
        <w:spacing w:after="80" w:before="0" w:line="240"/>
        <w:ind w:left="360" w:hanging="360"/>
        <w:jc w:val="both"/>
      </w:pPr>
      <w:r>
        <w:rPr>
          <w:rFonts w:ascii="Times New Roman" w:cs="Times New Roman" w:eastAsia="Times New Roman" w:hAnsi="Times New Roman"/>
          <w:sz w:val="20"/>
          <w:szCs w:val="20"/>
        </w:rPr>
        <w:t xml:space="preserve">[20] V. Karpukhin, B. Oğuz, S. Min, P. Lewis, L. Wu, S. Edunov, D. Chen, and W. Yih, "Dense Passage Retrieval for Open-Domain Question Answering," in Proc. EMNLP, 2020, pp. 6769–6781.</w:t>
      </w:r>
    </w:p>
    <w:p>
      <w:pPr>
        <w:spacing w:after="80" w:before="0" w:line="240"/>
        <w:ind w:left="360" w:hanging="360"/>
        <w:jc w:val="both"/>
      </w:pPr>
      <w:r>
        <w:rPr>
          <w:rFonts w:ascii="Times New Roman" w:cs="Times New Roman" w:eastAsia="Times New Roman" w:hAnsi="Times New Roman"/>
          <w:sz w:val="20"/>
          <w:szCs w:val="20"/>
        </w:rPr>
        <w:t xml:space="preserve">[21] G. Izacard and E. Grave, "Leveraging Passage Retrieval with Generative Models for Open Domain Question Answering," in Proc. EACL, 2021, pp. 874–880.</w:t>
      </w:r>
    </w:p>
    <w:p>
      <w:pPr>
        <w:spacing w:after="80" w:before="0" w:line="240"/>
        <w:ind w:left="360" w:hanging="360"/>
        <w:jc w:val="both"/>
      </w:pPr>
      <w:r>
        <w:rPr>
          <w:rFonts w:ascii="Times New Roman" w:cs="Times New Roman" w:eastAsia="Times New Roman" w:hAnsi="Times New Roman"/>
          <w:sz w:val="20"/>
          <w:szCs w:val="20"/>
        </w:rPr>
        <w:t xml:space="preserve">[22] B. Bohnet, V. Q. Tran, P. Verga et al., "Attributed Question Answering: Evaluation and Modeling for Attributed Large Language Models," arXiv:2212.08037, 2022.</w:t>
      </w:r>
    </w:p>
    <w:p>
      <w:pPr>
        <w:spacing w:after="80" w:before="0" w:line="240"/>
        <w:ind w:left="360" w:hanging="360"/>
        <w:jc w:val="both"/>
      </w:pPr>
      <w:r>
        <w:rPr>
          <w:rFonts w:ascii="Times New Roman" w:cs="Times New Roman" w:eastAsia="Times New Roman" w:hAnsi="Times New Roman"/>
          <w:sz w:val="20"/>
          <w:szCs w:val="20"/>
        </w:rPr>
        <w:t xml:space="preserve">[23] H. Rashkin, V. Nikolaev, M. Lamm, L. Aroyo, M. Collins, D. Das, S. Petrov, G. S. Tomar, I. Turc, and D. Reitter, "Measuring Attribution in Natural Language Generation Models," Computational Linguistics, vol. 49, no. 4, pp. 777–840, 2023.</w:t>
      </w:r>
    </w:p>
    <w:p>
      <w:pPr>
        <w:spacing w:after="80" w:before="0" w:line="240"/>
        <w:ind w:left="360" w:hanging="360"/>
        <w:jc w:val="both"/>
      </w:pPr>
      <w:r>
        <w:rPr>
          <w:rFonts w:ascii="Times New Roman" w:cs="Times New Roman" w:eastAsia="Times New Roman" w:hAnsi="Times New Roman"/>
          <w:sz w:val="20"/>
          <w:szCs w:val="20"/>
        </w:rPr>
        <w:t xml:space="preserve">[24] L. Gao, Z. Dai, P. Pasupat et al., "RARR: Researching and Revising What Language Models Say, Using Language Models," in Proc. ACL, 2023, pp. 16477–16508.</w:t>
      </w:r>
    </w:p>
    <w:p>
      <w:pPr>
        <w:spacing w:after="80" w:before="0" w:line="240"/>
        <w:ind w:left="360" w:hanging="360"/>
        <w:jc w:val="both"/>
      </w:pPr>
      <w:r>
        <w:rPr>
          <w:rFonts w:ascii="Times New Roman" w:cs="Times New Roman" w:eastAsia="Times New Roman" w:hAnsi="Times New Roman"/>
          <w:sz w:val="20"/>
          <w:szCs w:val="20"/>
        </w:rPr>
        <w:t xml:space="preserve">[25] A. Asai, Z. Wu, Y. Wang, A. Sil, and H. Hajishirzi, "Self-RAG: Learning to Retrieve, Generate, and Critique through Self-Reflection," in Proc. ICLR, 2024.</w:t>
      </w:r>
    </w:p>
    <w:p>
      <w:pPr>
        <w:spacing w:after="80" w:before="0" w:line="240"/>
        <w:ind w:left="360" w:hanging="360"/>
        <w:jc w:val="both"/>
      </w:pPr>
      <w:r>
        <w:rPr>
          <w:rFonts w:ascii="Times New Roman" w:cs="Times New Roman" w:eastAsia="Times New Roman" w:hAnsi="Times New Roman"/>
          <w:sz w:val="20"/>
          <w:szCs w:val="20"/>
        </w:rPr>
        <w:t xml:space="preserve">[26] G. Xiong, Q. Jin, Z. Lu, and A. Zhang, "Benchmarking Retrieval-Augmented Generation for Medicine," in Findings of ACL, 2024, pp. 6233–6251.</w:t>
      </w:r>
    </w:p>
    <w:p>
      <w:pPr>
        <w:spacing w:after="80" w:before="0" w:line="240"/>
        <w:ind w:left="360" w:hanging="360"/>
        <w:jc w:val="both"/>
      </w:pPr>
      <w:r>
        <w:rPr>
          <w:rFonts w:ascii="Times New Roman" w:cs="Times New Roman" w:eastAsia="Times New Roman" w:hAnsi="Times New Roman"/>
          <w:sz w:val="20"/>
          <w:szCs w:val="20"/>
        </w:rPr>
        <w:t xml:space="preserve">[27] C. Zakka, R. Shad, A. Chaurasia et al., "Almanac — Retrieval-Augmented Language Models for Clinical Medicine," NEJM AI, vol. 1, no. 2, AIoa2300068, 2024.</w:t>
      </w:r>
    </w:p>
    <w:p>
      <w:pPr>
        <w:spacing w:after="80" w:before="0" w:line="240"/>
        <w:ind w:left="360" w:hanging="360"/>
        <w:jc w:val="both"/>
      </w:pPr>
      <w:r>
        <w:rPr>
          <w:rFonts w:ascii="Times New Roman" w:cs="Times New Roman" w:eastAsia="Times New Roman" w:hAnsi="Times New Roman"/>
          <w:sz w:val="20"/>
          <w:szCs w:val="20"/>
        </w:rPr>
        <w:t xml:space="preserve">[28] A. Rau, S. Rau, D. Zoeller et al., "A Context-based Chatbot Surpasses Trained Radiologists and Generic ChatGPT in Following the ACR Appropriateness Guidelines," Radiology, vol. 308, no. 1, e230970,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sz w:val="22"/>
      <w:szCs w:val="22"/>
    </w:rPr>
  </w:style>
  <w:style w:type="paragraph" w:styleId="Caption">
    <w:name w:val="Caption"/>
    <w:basedOn w:val="Normal"/>
    <w:next w:val="Normal"/>
    <w:qFormat/>
    <w:pPr>
      <w:spacing w:after="180" w:before="60"/>
      <w:jc w:val="center"/>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2026-04-28T00:38:22.539Z</dcterms:created>
  <dcterms:modified xsi:type="dcterms:W3CDTF">2026-04-28T00:38:22.539Z</dcterms:modified>
</cp:coreProperties>
</file>

<file path=docProps/custom.xml><?xml version="1.0" encoding="utf-8"?>
<Properties xmlns="http://schemas.openxmlformats.org/officeDocument/2006/custom-properties" xmlns:vt="http://schemas.openxmlformats.org/officeDocument/2006/docPropsVTypes"/>
</file>