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11AB" w14:textId="77777777" w:rsidR="000C0C66" w:rsidRPr="000C0C66" w:rsidRDefault="000C0C66" w:rsidP="000C0C66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0C0C66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0C0C66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SME </w:t>
      </w:r>
      <w:r w:rsidRPr="000C0C66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กล้าให้ ภายใต้มาตรการ “สินเชื่อฟื้นฟู ระยะที่</w:t>
      </w:r>
      <w:r w:rsidRPr="000C0C66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>2”</w:t>
      </w:r>
    </w:p>
    <w:p w14:paraId="5649761B" w14:textId="77777777" w:rsidR="000C0C66" w:rsidRPr="000C0C66" w:rsidRDefault="000C0C66" w:rsidP="000C0C66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0C0C66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สินเชื่อภายใต้มาตรการสนับสนุนการให้สินเชื่อแก่ผู้ประกอบธุรกิจ ภายใต้พระราชกำหนดการให้ความช่วยเหลือและฟื้นฟู...</w:t>
      </w:r>
    </w:p>
    <w:p w14:paraId="509941DD" w14:textId="77777777" w:rsidR="008B7D0D" w:rsidRDefault="008B7D0D"/>
    <w:p w14:paraId="6BD2BC0B" w14:textId="77777777" w:rsidR="000C0C66" w:rsidRDefault="000C0C66" w:rsidP="000C0C66">
      <w:pPr>
        <w:pStyle w:val="Heading1"/>
        <w:shd w:val="clear" w:color="auto" w:fill="FFFFFF"/>
        <w:spacing w:before="0" w:beforeAutospacing="0" w:after="0" w:afterAutospacing="0"/>
        <w:rPr>
          <w:rFonts w:ascii="db_helvethaica_x" w:hAnsi="db_helvethaica_x"/>
          <w:b w:val="0"/>
          <w:bCs w:val="0"/>
          <w:color w:val="4C4C4C"/>
        </w:rPr>
      </w:pPr>
      <w:r>
        <w:rPr>
          <w:rStyle w:val="Strong"/>
          <w:rFonts w:ascii="db_helvethaica_x" w:hAnsi="db_helvethaica_x" w:cs="Angsana New"/>
          <w:b/>
          <w:bCs/>
          <w:color w:val="000099"/>
          <w:sz w:val="72"/>
          <w:szCs w:val="72"/>
          <w:cs/>
        </w:rPr>
        <w:t xml:space="preserve">สินเชื่อ </w:t>
      </w:r>
      <w:r>
        <w:rPr>
          <w:rStyle w:val="Strong"/>
          <w:rFonts w:ascii="db_helvethaica_x" w:hAnsi="db_helvethaica_x"/>
          <w:b/>
          <w:bCs/>
          <w:color w:val="000099"/>
          <w:sz w:val="72"/>
          <w:szCs w:val="72"/>
        </w:rPr>
        <w:t xml:space="preserve">SME </w:t>
      </w:r>
      <w:r>
        <w:rPr>
          <w:rStyle w:val="Strong"/>
          <w:rFonts w:ascii="db_helvethaica_x" w:hAnsi="db_helvethaica_x" w:cs="Angsana New"/>
          <w:b/>
          <w:bCs/>
          <w:color w:val="000099"/>
          <w:sz w:val="72"/>
          <w:szCs w:val="72"/>
          <w:cs/>
        </w:rPr>
        <w:t>กล้าให้ ภายใต้มาตรการ “สินเชื่อฟื้นฟู ระยะที่</w:t>
      </w:r>
      <w:r>
        <w:rPr>
          <w:rStyle w:val="Strong"/>
          <w:rFonts w:ascii="db_helvethaica_x" w:hAnsi="db_helvethaica_x"/>
          <w:b/>
          <w:bCs/>
          <w:color w:val="000099"/>
          <w:sz w:val="72"/>
          <w:szCs w:val="72"/>
        </w:rPr>
        <w:t>2”</w:t>
      </w:r>
    </w:p>
    <w:p w14:paraId="0E84ED68" w14:textId="77777777" w:rsidR="000C0C66" w:rsidRDefault="000C0C66" w:rsidP="000C0C66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777777"/>
          <w:sz w:val="42"/>
          <w:szCs w:val="42"/>
          <w:cs/>
        </w:rPr>
        <w:t xml:space="preserve">สินเชื่อภายใต้มาตรการสนับสนุนการให้สินเชื่อแก่ผู้ประกอบธุรกิจภายใต้พระราชกำหนดการให้ความช่วยเหลือและฟื้นฟูผู้ประกอบธุรกิจที่ได้รับผลกระทบจากการระบาดของโรคติดต่อเชื้อไวรัสโคโรนา </w:t>
      </w:r>
      <w:r>
        <w:rPr>
          <w:rFonts w:ascii="db_helvethaica_x" w:hAnsi="db_helvethaica_x"/>
          <w:color w:val="777777"/>
          <w:sz w:val="42"/>
          <w:szCs w:val="42"/>
        </w:rPr>
        <w:t xml:space="preserve">2019 </w:t>
      </w:r>
      <w:r>
        <w:rPr>
          <w:rFonts w:ascii="db_helvethaica_x" w:hAnsi="db_helvethaica_x" w:cs="Angsana New"/>
          <w:color w:val="777777"/>
          <w:sz w:val="42"/>
          <w:szCs w:val="42"/>
          <w:cs/>
        </w:rPr>
        <w:t xml:space="preserve">พ.ศ. </w:t>
      </w:r>
      <w:r>
        <w:rPr>
          <w:rFonts w:ascii="db_helvethaica_x" w:hAnsi="db_helvethaica_x"/>
          <w:color w:val="777777"/>
          <w:sz w:val="42"/>
          <w:szCs w:val="42"/>
        </w:rPr>
        <w:t xml:space="preserve">2564 </w:t>
      </w:r>
      <w:r>
        <w:rPr>
          <w:rFonts w:ascii="db_helvethaica_x" w:hAnsi="db_helvethaica_x" w:cs="Angsana New"/>
          <w:color w:val="777777"/>
          <w:sz w:val="42"/>
          <w:szCs w:val="42"/>
          <w:cs/>
        </w:rPr>
        <w:t xml:space="preserve">ระยะที่ </w:t>
      </w:r>
      <w:r>
        <w:rPr>
          <w:rFonts w:ascii="db_helvethaica_x" w:hAnsi="db_helvethaica_x"/>
          <w:color w:val="777777"/>
          <w:sz w:val="42"/>
          <w:szCs w:val="42"/>
        </w:rPr>
        <w:t xml:space="preserve">2 </w:t>
      </w:r>
      <w:r>
        <w:rPr>
          <w:rFonts w:ascii="db_helvethaica_x" w:hAnsi="db_helvethaica_x" w:cs="Angsana New"/>
          <w:color w:val="777777"/>
          <w:sz w:val="42"/>
          <w:szCs w:val="42"/>
          <w:cs/>
        </w:rPr>
        <w:t>โดยมีวัตถุประสงค์ของการใช้สินเชื่อเพื่อเสริมสภาพคล่องในการประกอบธุรกิจ ลดผลกระทบต่อการจ้างงาน และฟื้นฟูการประกอบธุรกิจ</w:t>
      </w:r>
      <w:r>
        <w:rPr>
          <w:rFonts w:ascii="db_helvethaica_x" w:hAnsi="db_helvethaica_x"/>
          <w:color w:val="777777"/>
          <w:sz w:val="42"/>
          <w:szCs w:val="42"/>
        </w:rPr>
        <w:t> </w:t>
      </w:r>
      <w:r>
        <w:rPr>
          <w:rFonts w:ascii="db_helvethaica_x" w:hAnsi="db_helvethaica_x"/>
          <w:color w:val="000099"/>
          <w:sz w:val="42"/>
          <w:szCs w:val="42"/>
        </w:rPr>
        <w:t> </w:t>
      </w:r>
    </w:p>
    <w:p w14:paraId="3CBE12F3" w14:textId="77777777" w:rsidR="000C0C66" w:rsidRDefault="000C0C66"/>
    <w:p w14:paraId="7B4707EB" w14:textId="47D27FDA" w:rsidR="000C0C66" w:rsidRDefault="000C0C66" w:rsidP="000C0C6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ลูกค้าเดิมของธนาคารไทยเครดิต</w:t>
      </w:r>
    </w:p>
    <w:p w14:paraId="47E2C403" w14:textId="5522F317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30 </w:t>
      </w:r>
      <w:r>
        <w:rPr>
          <w:rFonts w:hint="cs"/>
          <w:cs/>
        </w:rPr>
        <w:t xml:space="preserve">ล้านบาท ทั้งนี้นับรวมวงเงิน </w:t>
      </w:r>
      <w:r>
        <w:t xml:space="preserve">Soft Loan </w:t>
      </w:r>
      <w:r>
        <w:rPr>
          <w:rFonts w:hint="cs"/>
          <w:cs/>
        </w:rPr>
        <w:t>เดิม ที่เคยได้รับตาม พรก</w:t>
      </w:r>
      <w:r>
        <w:t>.</w:t>
      </w:r>
      <w:r>
        <w:rPr>
          <w:rFonts w:hint="cs"/>
          <w:cs/>
        </w:rPr>
        <w:t xml:space="preserve"> ช่วยเหลือทั้งหมด</w:t>
      </w:r>
    </w:p>
    <w:p w14:paraId="7541356C" w14:textId="77777777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ระยะเวลาผ่อนชำระ </w:t>
      </w:r>
      <w:r>
        <w:t xml:space="preserve">12 </w:t>
      </w:r>
      <w:r>
        <w:rPr>
          <w:rFonts w:hint="cs"/>
          <w:cs/>
        </w:rPr>
        <w:t>ปี</w:t>
      </w:r>
    </w:p>
    <w:p w14:paraId="61AB6558" w14:textId="77777777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อัตราดอกเบี้ย</w:t>
      </w:r>
    </w:p>
    <w:p w14:paraId="075BDD94" w14:textId="77777777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1 – 2 </w:t>
      </w:r>
      <w:r>
        <w:rPr>
          <w:rFonts w:hint="cs"/>
          <w:cs/>
        </w:rPr>
        <w:t xml:space="preserve">อัตราดอกเบี้ยคงที่ </w:t>
      </w:r>
      <w:r>
        <w:t xml:space="preserve">2.00% </w:t>
      </w:r>
      <w:r>
        <w:rPr>
          <w:rFonts w:hint="cs"/>
          <w:cs/>
        </w:rPr>
        <w:t xml:space="preserve">ต่อปี </w:t>
      </w:r>
      <w:r>
        <w:t>(</w:t>
      </w:r>
      <w:r>
        <w:rPr>
          <w:rFonts w:hint="cs"/>
          <w:cs/>
        </w:rPr>
        <w:t xml:space="preserve">ธนาคารไม่เรียกเก็บดอกเบี้ยในช่วง </w:t>
      </w:r>
      <w:r>
        <w:t xml:space="preserve">6 </w:t>
      </w:r>
      <w:r>
        <w:rPr>
          <w:rFonts w:hint="cs"/>
          <w:cs/>
        </w:rPr>
        <w:t>เดือนแรก เนื่องจากรัฐสนับสนุน</w:t>
      </w:r>
      <w:r>
        <w:t>)</w:t>
      </w:r>
    </w:p>
    <w:p w14:paraId="6A502CDD" w14:textId="77777777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3 – 5 </w:t>
      </w:r>
      <w:r>
        <w:rPr>
          <w:rFonts w:hint="cs"/>
          <w:cs/>
        </w:rPr>
        <w:t xml:space="preserve">อัตราดอกเบี้ยคงที่ </w:t>
      </w:r>
      <w:r>
        <w:t xml:space="preserve">6.50% </w:t>
      </w:r>
      <w:r>
        <w:rPr>
          <w:rFonts w:hint="cs"/>
          <w:cs/>
        </w:rPr>
        <w:t>ต่อปี</w:t>
      </w:r>
    </w:p>
    <w:p w14:paraId="20D5F9AC" w14:textId="77777777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6 – 12 </w:t>
      </w:r>
      <w:r>
        <w:rPr>
          <w:rFonts w:hint="cs"/>
          <w:cs/>
        </w:rPr>
        <w:t xml:space="preserve">อัตราดอกเบี้ยต่ำสุด </w:t>
      </w:r>
      <w:r>
        <w:t xml:space="preserve">MRR – 0.81% </w:t>
      </w:r>
      <w:r>
        <w:rPr>
          <w:rFonts w:hint="cs"/>
          <w:cs/>
        </w:rPr>
        <w:t xml:space="preserve">ต่อปี และสูงสุด </w:t>
      </w:r>
      <w:r>
        <w:t xml:space="preserve">MRR + 3.19% </w:t>
      </w:r>
      <w:r>
        <w:rPr>
          <w:rFonts w:hint="cs"/>
          <w:cs/>
        </w:rPr>
        <w:t>ต่อปี</w:t>
      </w:r>
    </w:p>
    <w:p w14:paraId="4BD7F7BA" w14:textId="77777777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lastRenderedPageBreak/>
        <w:t xml:space="preserve">หมายเหตุ </w:t>
      </w:r>
      <w:r>
        <w:t xml:space="preserve">MRR </w:t>
      </w:r>
      <w:r>
        <w:rPr>
          <w:rFonts w:hint="cs"/>
          <w:cs/>
        </w:rPr>
        <w:t>อ้างอิงตามประกาศของธนาคารไทยเครดิต</w:t>
      </w:r>
    </w:p>
    <w:p w14:paraId="374775E9" w14:textId="77777777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ค่าธรรมเนียม ไม่มีค่าธรรมเนียมจัดการให้กู้ </w:t>
      </w:r>
      <w:r>
        <w:t>(Front End Fee)</w:t>
      </w:r>
    </w:p>
    <w:p w14:paraId="4C9E7026" w14:textId="5541C9BB" w:rsidR="000C0C66" w:rsidRDefault="000C0C66" w:rsidP="000C0C6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การค้ำประกัน ค้ำประกันโดยบรรษัทประกันสินเชื่ออุตสาหกรรมขนาดย่อม </w:t>
      </w:r>
      <w:r>
        <w:t>(</w:t>
      </w:r>
      <w:r>
        <w:rPr>
          <w:rFonts w:hint="cs"/>
          <w:cs/>
        </w:rPr>
        <w:t>บสย</w:t>
      </w:r>
      <w:r>
        <w:t xml:space="preserve">.) </w:t>
      </w:r>
      <w:r>
        <w:rPr>
          <w:rFonts w:hint="cs"/>
          <w:cs/>
        </w:rPr>
        <w:t>ค่าธรรมเนียม บสย</w:t>
      </w:r>
      <w:r>
        <w:t>.</w:t>
      </w:r>
      <w:r>
        <w:rPr>
          <w:rFonts w:hint="cs"/>
          <w:cs/>
        </w:rPr>
        <w:t xml:space="preserve"> สูงสุด </w:t>
      </w:r>
      <w:r>
        <w:t xml:space="preserve">1.75% </w:t>
      </w:r>
      <w:r>
        <w:rPr>
          <w:rFonts w:hint="cs"/>
          <w:cs/>
        </w:rPr>
        <w:t>ต่อปี</w:t>
      </w:r>
    </w:p>
    <w:p w14:paraId="3B4358D0" w14:textId="36028230" w:rsidR="000C0C66" w:rsidRDefault="000C0C66" w:rsidP="000C0C6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ลูกค้าใหม่ของธนาคารไทยเครดิต</w:t>
      </w:r>
    </w:p>
    <w:p w14:paraId="4F8426CD" w14:textId="49C71EC3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20 </w:t>
      </w:r>
      <w:r>
        <w:rPr>
          <w:rFonts w:hint="cs"/>
          <w:cs/>
        </w:rPr>
        <w:t xml:space="preserve">ล้านบาท สำหรับผู้ประกอบการธุรกิจ ที่ไม่มีวงเงินสินเชื่อธุรกิจกับสถาบันการเงินทุกแห่ง ณ วันที่ </w:t>
      </w:r>
      <w:r>
        <w:t xml:space="preserve">28 </w:t>
      </w:r>
      <w:r>
        <w:rPr>
          <w:rFonts w:hint="cs"/>
          <w:cs/>
        </w:rPr>
        <w:t xml:space="preserve">กุมภาพันธ์ </w:t>
      </w:r>
      <w:r>
        <w:t>2564</w:t>
      </w:r>
    </w:p>
    <w:p w14:paraId="07224DB3" w14:textId="773E221E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ระยะเวลาผ่อนชำระ </w:t>
      </w:r>
      <w:r>
        <w:t xml:space="preserve">12 </w:t>
      </w:r>
      <w:r>
        <w:rPr>
          <w:rFonts w:hint="cs"/>
          <w:cs/>
        </w:rPr>
        <w:t>ปี</w:t>
      </w:r>
    </w:p>
    <w:p w14:paraId="67959BD7" w14:textId="6405400F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อัตราดอกเบี้ย</w:t>
      </w:r>
    </w:p>
    <w:p w14:paraId="0DD890B3" w14:textId="2566294A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1 – 2 </w:t>
      </w:r>
      <w:r>
        <w:rPr>
          <w:rFonts w:hint="cs"/>
          <w:cs/>
        </w:rPr>
        <w:t xml:space="preserve">อัตราดอกเบี้ยคงที่ </w:t>
      </w:r>
      <w:r>
        <w:t xml:space="preserve">2.00% </w:t>
      </w:r>
      <w:r>
        <w:rPr>
          <w:rFonts w:hint="cs"/>
          <w:cs/>
        </w:rPr>
        <w:t xml:space="preserve">ต่อปี </w:t>
      </w:r>
      <w:r>
        <w:t>(</w:t>
      </w:r>
      <w:r>
        <w:rPr>
          <w:rFonts w:hint="cs"/>
          <w:cs/>
        </w:rPr>
        <w:t xml:space="preserve">ธนาคารไม่เรียกเก็บดอกเบี้ยในช่วง </w:t>
      </w:r>
      <w:r>
        <w:t xml:space="preserve">6 </w:t>
      </w:r>
      <w:r>
        <w:rPr>
          <w:rFonts w:hint="cs"/>
          <w:cs/>
        </w:rPr>
        <w:t>เดือนแรก เนื่องจากรัฐสนับสนุน</w:t>
      </w:r>
      <w:r>
        <w:t>)</w:t>
      </w:r>
    </w:p>
    <w:p w14:paraId="5E2A2C14" w14:textId="19B798C5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3 – 5 </w:t>
      </w:r>
      <w:r>
        <w:rPr>
          <w:rFonts w:hint="cs"/>
          <w:cs/>
        </w:rPr>
        <w:t xml:space="preserve">อัตราดอกเบี้ยคงที่ </w:t>
      </w:r>
      <w:r>
        <w:t xml:space="preserve">6.50% </w:t>
      </w:r>
      <w:r>
        <w:rPr>
          <w:rFonts w:hint="cs"/>
          <w:cs/>
        </w:rPr>
        <w:t>ต่อปี</w:t>
      </w:r>
    </w:p>
    <w:p w14:paraId="646A0B73" w14:textId="10BBB8EA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ปีที่ </w:t>
      </w:r>
      <w:r>
        <w:t xml:space="preserve">6 – 12 </w:t>
      </w:r>
      <w:r>
        <w:rPr>
          <w:rFonts w:hint="cs"/>
          <w:cs/>
        </w:rPr>
        <w:t xml:space="preserve">อัตราดอกเบี้ยต่ำสุด </w:t>
      </w:r>
      <w:r>
        <w:t xml:space="preserve">MRR – 0.81% </w:t>
      </w:r>
      <w:r>
        <w:rPr>
          <w:rFonts w:hint="cs"/>
          <w:cs/>
        </w:rPr>
        <w:t xml:space="preserve">ต่อปี และสูงสุด </w:t>
      </w:r>
      <w:r>
        <w:t xml:space="preserve">MRR + 3.19% </w:t>
      </w:r>
      <w:r>
        <w:rPr>
          <w:rFonts w:hint="cs"/>
          <w:cs/>
        </w:rPr>
        <w:t>ต่อปี</w:t>
      </w:r>
    </w:p>
    <w:p w14:paraId="1839CB47" w14:textId="60ADDB13" w:rsidR="000C0C66" w:rsidRDefault="000C0C66" w:rsidP="000C0C6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หมายเหตุ </w:t>
      </w:r>
      <w:r>
        <w:t xml:space="preserve">MRR </w:t>
      </w:r>
      <w:r>
        <w:rPr>
          <w:rFonts w:hint="cs"/>
          <w:cs/>
        </w:rPr>
        <w:t>อ้างอิงตามประกาศของธนาคารไทยเครดิต</w:t>
      </w:r>
    </w:p>
    <w:p w14:paraId="566CB4C2" w14:textId="04B6D733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ค่าธรรมเนียม ไม่มีค่าธรรมเนียมจัดการให้กู้ </w:t>
      </w:r>
      <w:r>
        <w:t>(Front End Fee)</w:t>
      </w:r>
    </w:p>
    <w:p w14:paraId="0E43D0A0" w14:textId="323925B4" w:rsidR="000C0C66" w:rsidRDefault="000C0C66" w:rsidP="000C0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การค้ำประกัน ค้ำประกันโดยบรรษัทประกันสินเชื่ออุตสาหกรรมขนาดย่อม </w:t>
      </w:r>
      <w:r>
        <w:t>(</w:t>
      </w:r>
      <w:r>
        <w:rPr>
          <w:rFonts w:hint="cs"/>
          <w:cs/>
        </w:rPr>
        <w:t>บสย</w:t>
      </w:r>
      <w:r>
        <w:t xml:space="preserve">.) </w:t>
      </w:r>
      <w:r>
        <w:rPr>
          <w:rFonts w:hint="cs"/>
          <w:cs/>
        </w:rPr>
        <w:t>ค่าธรรมเนียม บสย</w:t>
      </w:r>
      <w:r>
        <w:t>.</w:t>
      </w:r>
      <w:r>
        <w:rPr>
          <w:rFonts w:hint="cs"/>
          <w:cs/>
        </w:rPr>
        <w:t xml:space="preserve"> สูงสุด </w:t>
      </w:r>
      <w:r>
        <w:t xml:space="preserve">1.75% </w:t>
      </w:r>
      <w:r>
        <w:rPr>
          <w:rFonts w:hint="cs"/>
          <w:cs/>
        </w:rPr>
        <w:t>ต่อปี</w:t>
      </w:r>
    </w:p>
    <w:p w14:paraId="0237DC78" w14:textId="77777777" w:rsidR="000C0C66" w:rsidRDefault="000C0C66" w:rsidP="000C0C66"/>
    <w:p w14:paraId="09873090" w14:textId="77777777" w:rsidR="000C0C66" w:rsidRDefault="000C0C66" w:rsidP="000C0C66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Fonts w:ascii="db_helvethaica_x" w:hAnsi="db_helvethaica_x" w:cs="Angsana New"/>
          <w:b/>
          <w:bCs/>
          <w:color w:val="4C4C4C"/>
          <w:sz w:val="72"/>
          <w:szCs w:val="72"/>
          <w:cs/>
        </w:rPr>
        <w:t>รายละเอียดประกอบการพิจารณา</w:t>
      </w:r>
    </w:p>
    <w:p w14:paraId="225EC4D4" w14:textId="77777777" w:rsidR="000C0C66" w:rsidRDefault="000C0C66" w:rsidP="000C0C66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b/>
          <w:bCs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คุณสมบัติผู้เข้าร่วมโครงการตามเกณฑ์ธนาคารแห่งประเทศไทย</w:t>
      </w:r>
    </w:p>
    <w:p w14:paraId="28B1BB8E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เป็นบุคคลธรรมดาหรือนิติบุคคลที่จดทะเบียนในประเทศไทย มีสถานประกอบการในประเทศ</w:t>
      </w:r>
    </w:p>
    <w:p w14:paraId="4574F573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ณ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31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ธันวาคม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2562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ลูกค้าต้องไม่เป็น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NPL</w:t>
      </w:r>
    </w:p>
    <w:p w14:paraId="32F925D4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ไม่เป็นบริษัทจดทะเบียนในตลาดหลักทรัพย์</w:t>
      </w:r>
    </w:p>
    <w:p w14:paraId="1B2D02D2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lastRenderedPageBreak/>
        <w:t>ไม่เป็นผู้ประกอบธุรกิจทางการเงิน</w:t>
      </w:r>
    </w:p>
    <w:p w14:paraId="28D1ECBC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ไม่ให้ผู้ประกอบธุรกิจนำเงินสินเชื่อมาชำระหนี้เดิมที่มีอยู่กับสถาบันการเงินที่ให้กู้ยืม</w:t>
      </w:r>
    </w:p>
    <w:p w14:paraId="1873B5DA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>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ลูกค้าเดิมของธนาคาร:  ณ วันที่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28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กุมภาพันธ์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2564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มีวงเงินสินเชื่อกับสถาบันการเงินแต่ละแห่งไม่เกิน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500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ล้านบาท  </w:t>
      </w:r>
    </w:p>
    <w:p w14:paraId="2A141F99" w14:textId="77777777" w:rsidR="000C0C66" w:rsidRDefault="000C0C66" w:rsidP="000C0C66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ลูกค้าใหม่ของธนาคาร:  ณ วันที่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28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กุมภาพันธ์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2564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ไม่มีวงเงินสินเชื่อกับสถาบันการเงินใด ๆ (ไม่รวมวงเงินสินเชื่อเพื่อการอุปโภคบริโภค : วงเงินสินเชื่อส่วนบุคคลภายใต้การกำกับ วงเงินสินเชื่อบัตรเครดิต วงเงินสินเชื่อเพื่อที่อยู่อาศัย และวงเงินสินเชื่อเช่าซื้อ เว้นแต่เป็นวงเงินสินเชื่อที่มีวัตถุประสงค์ใช้ในการประกอบธุรกิจ)</w:t>
      </w:r>
    </w:p>
    <w:p w14:paraId="610CFB49" w14:textId="77777777" w:rsidR="000C0C66" w:rsidRDefault="000C0C66" w:rsidP="000C0C66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> </w:t>
      </w:r>
    </w:p>
    <w:p w14:paraId="4A10FD08" w14:textId="77777777" w:rsidR="000C0C66" w:rsidRDefault="000C0C66" w:rsidP="000C0C66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08C7E9C3" w14:textId="77777777" w:rsidR="000C0C66" w:rsidRDefault="000C0C66" w:rsidP="000C0C66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  <w:sz w:val="36"/>
          <w:szCs w:val="36"/>
        </w:rPr>
      </w:pPr>
      <w:r>
        <w:rPr>
          <w:rFonts w:ascii="db_helvethaica_x" w:hAnsi="db_helvethaica_x" w:cs="Angsana New"/>
          <w:b/>
          <w:bCs/>
          <w:color w:val="4C4C4C"/>
          <w:sz w:val="72"/>
          <w:szCs w:val="72"/>
          <w:cs/>
        </w:rPr>
        <w:t xml:space="preserve">เอกสารประกอบการพิจารณาสินเชื่อ </w:t>
      </w:r>
      <w:r>
        <w:rPr>
          <w:rFonts w:ascii="db_helvethaica_x" w:hAnsi="db_helvethaica_x"/>
          <w:b/>
          <w:bCs/>
          <w:color w:val="4C4C4C"/>
          <w:sz w:val="72"/>
          <w:szCs w:val="72"/>
        </w:rPr>
        <w:t xml:space="preserve">SME </w:t>
      </w:r>
      <w:r>
        <w:rPr>
          <w:rFonts w:ascii="db_helvethaica_x" w:hAnsi="db_helvethaica_x" w:cs="Angsana New"/>
          <w:b/>
          <w:bCs/>
          <w:color w:val="4C4C4C"/>
          <w:sz w:val="72"/>
          <w:szCs w:val="72"/>
          <w:cs/>
        </w:rPr>
        <w:t>กล้าให้ ภายใต้มาตรการ “สินเชื่อฟื้นฟู ระยะที่</w:t>
      </w:r>
      <w:r>
        <w:rPr>
          <w:rFonts w:ascii="db_helvethaica_x" w:hAnsi="db_helvethaica_x"/>
          <w:b/>
          <w:bCs/>
          <w:color w:val="4C4C4C"/>
          <w:sz w:val="72"/>
          <w:szCs w:val="72"/>
        </w:rPr>
        <w:t>2”</w:t>
      </w:r>
    </w:p>
    <w:p w14:paraId="785F86BF" w14:textId="77777777" w:rsidR="000C0C66" w:rsidRDefault="000C0C66" w:rsidP="000C0C66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b/>
          <w:bCs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กรณีบุคคลธรรมดา</w:t>
      </w:r>
    </w:p>
    <w:p w14:paraId="03C15456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2ACD1FF7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หรือเอกสารแสดงรายได้อื่นๆ เช่น บิลการค้า เป็นต้น</w:t>
      </w:r>
    </w:p>
    <w:p w14:paraId="1A500D77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0C2153B1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สำเนาทะเบียนสมรส (ถ้ามี)</w:t>
      </w:r>
    </w:p>
    <w:p w14:paraId="75946F62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หนังสือรับรองการจดทะเบียนพาณิชย์ และ / หรือ เอกสารทางราชการอื่น ๆ</w:t>
      </w:r>
    </w:p>
    <w:p w14:paraId="5A820ABF" w14:textId="77777777" w:rsidR="000C0C66" w:rsidRDefault="000C0C66" w:rsidP="000C0C66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>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(เฉพาะวงเงินกู้เบิกเกินบัญชี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OD)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แบบใช้หลักทรัพย์ค้ำประกันเท่านั้น) เช่น โฉนดที่ดินหรือสำเนาหนังสือกรรมสิทธิ์ห้องชุด ฯลฯ</w:t>
      </w:r>
    </w:p>
    <w:p w14:paraId="49E31CE0" w14:textId="77777777" w:rsidR="000C0C66" w:rsidRDefault="000C0C66" w:rsidP="000C0C66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กรณีนิติบุคคล</w:t>
      </w:r>
    </w:p>
    <w:p w14:paraId="28D78EE6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>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ขึ้นไปทุกคน/ผู้ค้ำประกันทุกคน/เจ้าของหลักประกัน</w:t>
      </w:r>
    </w:p>
    <w:p w14:paraId="7091D901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263EF832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58C46151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สำเนาทะเบียนผู้ถือหุ้น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00D64163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สำเนารายการจดทะเบียนจัดตั้ง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3)</w:t>
      </w:r>
    </w:p>
    <w:p w14:paraId="36972817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สำเนารายการจดทะเบียนแก้ไขเพิ่มเติม และ/หรือ มติพิเศษ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4) (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ถ้ามี)</w:t>
      </w:r>
    </w:p>
    <w:p w14:paraId="5FE9CBE1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 ฉบับยื่นสรรพากรปีล่าสุด และย้อนหลัง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273F4DA8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เอกสารใบสรุปภาษีมูลค่าเพิ่ม/ภาษีหัก ณ ที่จ่าย 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(ถ้ามี)</w:t>
      </w:r>
    </w:p>
    <w:p w14:paraId="4292F47B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 เอกสารแสดงรายได้อื่นๆ เช่น บิลการค้า เป็นต้น</w:t>
      </w:r>
    </w:p>
    <w:p w14:paraId="1AB9F358" w14:textId="77777777" w:rsidR="000C0C66" w:rsidRDefault="000C0C66" w:rsidP="000C0C66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โฉนดที่ดิน หรือ สำเนาหนังสือกรรมสิทธิ์ห้องชุด</w:t>
      </w:r>
    </w:p>
    <w:p w14:paraId="0E3CBDB4" w14:textId="6AB93695" w:rsidR="000C0C66" w:rsidRDefault="000C0C66" w:rsidP="000C0C66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  <w:r>
        <w:rPr>
          <w:rFonts w:ascii="db_helvethaica_x" w:hAnsi="db_helvethaica_x"/>
          <w:color w:val="4C4C4C"/>
          <w:sz w:val="38"/>
          <w:szCs w:val="38"/>
          <w:shd w:val="clear" w:color="auto" w:fill="FFFFFF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>หมายเหตุ :</w:t>
      </w:r>
      <w:proofErr w:type="gramEnd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 xml:space="preserve"> รายละเอียดการพิจารณาสินเชื่อเป็นไปตามหลักเกณฑ์ และเงื่อนไขที่ธนาคารฯ กำหนด</w:t>
      </w:r>
    </w:p>
    <w:p w14:paraId="67EDF4F0" w14:textId="77777777" w:rsidR="000C0C66" w:rsidRDefault="000C0C66" w:rsidP="000C0C66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</w:p>
    <w:p w14:paraId="45A659FE" w14:textId="77777777" w:rsidR="000C0C66" w:rsidRDefault="000C0C66" w:rsidP="000C0C66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72"/>
          <w:szCs w:val="72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0C0C66" w14:paraId="2B7AF48F" w14:textId="77777777" w:rsidTr="000C0C66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9D73227" w14:textId="77777777" w:rsidR="000C0C66" w:rsidRDefault="000C0C66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6FABC394" w14:textId="77777777" w:rsidR="000C0C66" w:rsidRDefault="000C0C66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0C0C66" w14:paraId="3195780A" w14:textId="77777777" w:rsidTr="000C0C66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2704EC17" w14:textId="77777777" w:rsidR="000C0C66" w:rsidRDefault="000C0C66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2E1F58B" w14:textId="77777777" w:rsidR="000C0C66" w:rsidRDefault="000C0C66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0C0C66" w14:paraId="4C6A1AEF" w14:textId="77777777" w:rsidTr="000C0C66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E2AE75C" w14:textId="77777777" w:rsidR="000C0C66" w:rsidRDefault="000C0C66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5EFA8917" w14:textId="77777777" w:rsidR="000C0C66" w:rsidRDefault="000C0C66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0C0C66" w14:paraId="62A55BEF" w14:textId="77777777" w:rsidTr="000C0C66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D982C07" w14:textId="77777777" w:rsidR="000C0C66" w:rsidRDefault="000C0C66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1DDBCEA" w14:textId="77777777" w:rsidR="000C0C66" w:rsidRDefault="000C0C66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0C0C66" w14:paraId="7437BE23" w14:textId="77777777" w:rsidTr="000C0C66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CC4D4A2" w14:textId="77777777" w:rsidR="000C0C66" w:rsidRDefault="000C0C66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61E51E0" w14:textId="77777777" w:rsidR="000C0C66" w:rsidRDefault="000C0C66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11A8129A" w14:textId="77777777" w:rsidR="000C0C66" w:rsidRDefault="000C0C66" w:rsidP="000C0C66">
      <w:pPr>
        <w:rPr>
          <w:rFonts w:hint="cs"/>
        </w:rPr>
      </w:pPr>
    </w:p>
    <w:sectPr w:rsidR="000C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22"/>
    <w:multiLevelType w:val="multilevel"/>
    <w:tmpl w:val="8E9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235"/>
    <w:multiLevelType w:val="hybridMultilevel"/>
    <w:tmpl w:val="D7B4C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4708"/>
    <w:multiLevelType w:val="multilevel"/>
    <w:tmpl w:val="A56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34F14"/>
    <w:multiLevelType w:val="hybridMultilevel"/>
    <w:tmpl w:val="0EFE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F6431"/>
    <w:multiLevelType w:val="multilevel"/>
    <w:tmpl w:val="0636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60395">
    <w:abstractNumId w:val="3"/>
  </w:num>
  <w:num w:numId="2" w16cid:durableId="1969512684">
    <w:abstractNumId w:val="1"/>
  </w:num>
  <w:num w:numId="3" w16cid:durableId="2061319168">
    <w:abstractNumId w:val="0"/>
  </w:num>
  <w:num w:numId="4" w16cid:durableId="423233701">
    <w:abstractNumId w:val="2"/>
  </w:num>
  <w:num w:numId="5" w16cid:durableId="976766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66"/>
    <w:rsid w:val="000C0C66"/>
    <w:rsid w:val="0045158A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D0EA"/>
  <w15:chartTrackingRefBased/>
  <w15:docId w15:val="{AC393A73-A501-4221-B6B5-1A0FF313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0C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0C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C0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6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6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2024-02-18T15:39:00Z</dcterms:created>
  <dcterms:modified xsi:type="dcterms:W3CDTF">2024-02-18T15:46:00Z</dcterms:modified>
</cp:coreProperties>
</file>