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A72E" w14:textId="77777777" w:rsidR="000D5960" w:rsidRPr="000D5960" w:rsidRDefault="000D5960" w:rsidP="000D5960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28"/>
          <w14:ligatures w14:val="none"/>
        </w:rPr>
      </w:pPr>
      <w:r w:rsidRPr="000D5960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28"/>
          <w:cs/>
          <w14:ligatures w14:val="none"/>
        </w:rPr>
        <w:t xml:space="preserve">สินเชื่อ </w:t>
      </w:r>
      <w:r w:rsidRPr="000D5960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28"/>
          <w14:ligatures w14:val="none"/>
        </w:rPr>
        <w:t xml:space="preserve">SME </w:t>
      </w:r>
      <w:r w:rsidRPr="000D5960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28"/>
          <w:cs/>
          <w14:ligatures w14:val="none"/>
        </w:rPr>
        <w:t xml:space="preserve">กล้าให้ </w:t>
      </w:r>
      <w:r w:rsidRPr="000D5960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28"/>
          <w14:ligatures w14:val="none"/>
        </w:rPr>
        <w:t>Standby OD</w:t>
      </w:r>
    </w:p>
    <w:p w14:paraId="72FB8DAA" w14:textId="77777777" w:rsidR="000D5960" w:rsidRPr="000D5960" w:rsidRDefault="000D5960" w:rsidP="000D5960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Cs w:val="22"/>
          <w14:ligatures w14:val="none"/>
        </w:rPr>
      </w:pPr>
      <w:r w:rsidRPr="000D5960">
        <w:rPr>
          <w:rFonts w:ascii="db_helvethaica_x" w:eastAsia="Times New Roman" w:hAnsi="db_helvethaica_x" w:cs="Angsana New"/>
          <w:color w:val="4C4C4C"/>
          <w:spacing w:val="15"/>
          <w:kern w:val="0"/>
          <w:szCs w:val="22"/>
          <w:cs/>
          <w14:ligatures w14:val="none"/>
        </w:rPr>
        <w:t xml:space="preserve">เป็นสินเชื่อเพื่อผู้ประกอบการ </w:t>
      </w:r>
      <w:r w:rsidRPr="000D5960">
        <w:rPr>
          <w:rFonts w:ascii="db_helvethaica_x" w:eastAsia="Times New Roman" w:hAnsi="db_helvethaica_x" w:cs="Times New Roman"/>
          <w:color w:val="4C4C4C"/>
          <w:spacing w:val="15"/>
          <w:kern w:val="0"/>
          <w:szCs w:val="22"/>
          <w14:ligatures w14:val="none"/>
        </w:rPr>
        <w:t xml:space="preserve">SME </w:t>
      </w:r>
      <w:r w:rsidRPr="000D5960">
        <w:rPr>
          <w:rFonts w:ascii="db_helvethaica_x" w:eastAsia="Times New Roman" w:hAnsi="db_helvethaica_x" w:cs="Angsana New"/>
          <w:color w:val="4C4C4C"/>
          <w:spacing w:val="15"/>
          <w:kern w:val="0"/>
          <w:szCs w:val="22"/>
          <w:cs/>
          <w14:ligatures w14:val="none"/>
        </w:rPr>
        <w:t xml:space="preserve">ที่ต้องการวงเงินเบิกเกินบัญชี ซึ่ง </w:t>
      </w:r>
      <w:r w:rsidRPr="000D5960">
        <w:rPr>
          <w:rFonts w:ascii="db_helvethaica_x" w:eastAsia="Times New Roman" w:hAnsi="db_helvethaica_x" w:cs="Times New Roman"/>
          <w:color w:val="4C4C4C"/>
          <w:spacing w:val="15"/>
          <w:kern w:val="0"/>
          <w:szCs w:val="22"/>
          <w14:ligatures w14:val="none"/>
        </w:rPr>
        <w:t xml:space="preserve">SME </w:t>
      </w:r>
      <w:r w:rsidRPr="000D5960">
        <w:rPr>
          <w:rFonts w:ascii="db_helvethaica_x" w:eastAsia="Times New Roman" w:hAnsi="db_helvethaica_x" w:cs="Angsana New"/>
          <w:color w:val="4C4C4C"/>
          <w:spacing w:val="15"/>
          <w:kern w:val="0"/>
          <w:szCs w:val="22"/>
          <w:cs/>
          <w14:ligatures w14:val="none"/>
        </w:rPr>
        <w:t xml:space="preserve">กล้าให้ </w:t>
      </w:r>
      <w:r w:rsidRPr="000D5960">
        <w:rPr>
          <w:rFonts w:ascii="db_helvethaica_x" w:eastAsia="Times New Roman" w:hAnsi="db_helvethaica_x" w:cs="Times New Roman"/>
          <w:color w:val="4C4C4C"/>
          <w:spacing w:val="15"/>
          <w:kern w:val="0"/>
          <w:szCs w:val="22"/>
          <w14:ligatures w14:val="none"/>
        </w:rPr>
        <w:t xml:space="preserve">Standby OD </w:t>
      </w:r>
      <w:r w:rsidRPr="000D5960">
        <w:rPr>
          <w:rFonts w:ascii="db_helvethaica_x" w:eastAsia="Times New Roman" w:hAnsi="db_helvethaica_x" w:cs="Angsana New"/>
          <w:color w:val="4C4C4C"/>
          <w:spacing w:val="15"/>
          <w:kern w:val="0"/>
          <w:szCs w:val="22"/>
          <w:cs/>
          <w14:ligatures w14:val="none"/>
        </w:rPr>
        <w:t>ซึ่งสินเชื่อวงเงินเบิกเกินบัญชีเหมาะสำหรับผู้ประกอบการรายย่อย เพื่อใช้เป็นเงินทุนหมุนเวียน และเสริมสภาพคล่องในการดำเนินธุรกิจ ค้ำประกันโดย บสย.</w:t>
      </w:r>
    </w:p>
    <w:p w14:paraId="713DD59E" w14:textId="77777777" w:rsidR="008B7D0D" w:rsidRDefault="008B7D0D"/>
    <w:p w14:paraId="705801A1" w14:textId="77777777" w:rsidR="000D5960" w:rsidRDefault="000D5960" w:rsidP="000D5960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</w:rPr>
      </w:pPr>
      <w:r w:rsidRPr="000D5960">
        <w:rPr>
          <w:rStyle w:val="Strong"/>
          <w:rFonts w:ascii="db_helvethaica_x" w:hAnsi="db_helvethaica_x" w:cs="Angsana New"/>
          <w:b w:val="0"/>
          <w:bCs w:val="0"/>
          <w:color w:val="000099"/>
          <w:sz w:val="28"/>
          <w:szCs w:val="28"/>
          <w:cs/>
        </w:rPr>
        <w:t xml:space="preserve">วงเงินเบิกเกินบัญชี </w:t>
      </w:r>
      <w:r w:rsidRPr="000D5960">
        <w:rPr>
          <w:rStyle w:val="Strong"/>
          <w:rFonts w:ascii="db_helvethaica_x" w:hAnsi="db_helvethaica_x"/>
          <w:b w:val="0"/>
          <w:bCs w:val="0"/>
          <w:color w:val="000099"/>
          <w:sz w:val="28"/>
          <w:szCs w:val="28"/>
        </w:rPr>
        <w:t xml:space="preserve">SME </w:t>
      </w:r>
      <w:r w:rsidRPr="000D5960">
        <w:rPr>
          <w:rStyle w:val="Strong"/>
          <w:rFonts w:ascii="db_helvethaica_x" w:hAnsi="db_helvethaica_x" w:cs="Angsana New"/>
          <w:b w:val="0"/>
          <w:bCs w:val="0"/>
          <w:color w:val="000099"/>
          <w:sz w:val="28"/>
          <w:szCs w:val="28"/>
          <w:cs/>
        </w:rPr>
        <w:t xml:space="preserve">กล้าให้ </w:t>
      </w:r>
      <w:r w:rsidRPr="000D5960">
        <w:rPr>
          <w:rStyle w:val="Strong"/>
          <w:rFonts w:ascii="db_helvethaica_x" w:hAnsi="db_helvethaica_x"/>
          <w:b w:val="0"/>
          <w:bCs w:val="0"/>
          <w:color w:val="000099"/>
          <w:sz w:val="28"/>
          <w:szCs w:val="28"/>
        </w:rPr>
        <w:t>Standby OD</w:t>
      </w:r>
      <w:r w:rsidRPr="000D5960">
        <w:rPr>
          <w:rFonts w:ascii="db_helvethaica_x" w:hAnsi="db_helvethaica_x"/>
          <w:b/>
          <w:bCs/>
          <w:color w:val="000099"/>
          <w:sz w:val="28"/>
          <w:szCs w:val="28"/>
        </w:rPr>
        <w:t> </w:t>
      </w:r>
      <w:r>
        <w:rPr>
          <w:rFonts w:ascii="db_helvethaica_x" w:hAnsi="db_helvethaica_x"/>
          <w:b/>
          <w:bCs/>
          <w:color w:val="4C4C4C"/>
        </w:rPr>
        <w:br/>
      </w:r>
      <w:r>
        <w:rPr>
          <w:rFonts w:ascii="db_helvethaica_x" w:hAnsi="db_helvethaica_x" w:cs="Angsana New"/>
          <w:b/>
          <w:bCs/>
          <w:color w:val="777777"/>
          <w:cs/>
        </w:rPr>
        <w:t>สินเชื่อวงเงินเบิกเกินบัญชีสำหรับผู้ประกอบการรายย่อย เพื่อใช้เป็นเงินทุนหมุนเวียน และเสริมสภาพคล่องในการดำเนินธุรกิจ ค้ำประกันโดย บสย.</w:t>
      </w:r>
      <w:r>
        <w:rPr>
          <w:rFonts w:ascii="db_helvethaica_x" w:hAnsi="db_helvethaica_x"/>
          <w:b/>
          <w:bCs/>
          <w:color w:val="000099"/>
        </w:rPr>
        <w:t>  </w:t>
      </w:r>
    </w:p>
    <w:p w14:paraId="6EE48775" w14:textId="6543D5AF" w:rsidR="000D5960" w:rsidRDefault="000D5960" w:rsidP="000D596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วงเงินกู้เบิกเกินบัญชี </w:t>
      </w:r>
      <w:r>
        <w:t xml:space="preserve">(OD) </w:t>
      </w:r>
      <w:r>
        <w:rPr>
          <w:rFonts w:hint="cs"/>
          <w:cs/>
        </w:rPr>
        <w:t>แบบใช้หลักทรัพย์ค้ำประกัน</w:t>
      </w:r>
    </w:p>
    <w:p w14:paraId="61697C24" w14:textId="432740E9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คุณสมบัติผู้ขอสินเชื่อ นิติบุคคล</w:t>
      </w:r>
      <w:r>
        <w:t>/</w:t>
      </w:r>
      <w:r>
        <w:rPr>
          <w:rFonts w:hint="cs"/>
          <w:cs/>
        </w:rPr>
        <w:t xml:space="preserve">บุคคลธรรมดา อายุระหว่าง </w:t>
      </w:r>
      <w:r>
        <w:t xml:space="preserve">20-65 </w:t>
      </w:r>
      <w:r>
        <w:rPr>
          <w:rFonts w:hint="cs"/>
          <w:cs/>
        </w:rPr>
        <w:t>ปี ที่มีสัญชาติไทย</w:t>
      </w:r>
    </w:p>
    <w:p w14:paraId="6BEA5ED4" w14:textId="7DE6CE23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ประสบการณ์ในธุรกิจ </w:t>
      </w:r>
      <w:r>
        <w:t xml:space="preserve">3 </w:t>
      </w:r>
      <w:r>
        <w:rPr>
          <w:rFonts w:hint="cs"/>
          <w:cs/>
        </w:rPr>
        <w:t>ปีขึ้นไป</w:t>
      </w:r>
    </w:p>
    <w:p w14:paraId="4CC5AD8A" w14:textId="7C9C4194" w:rsidR="000D5960" w:rsidRDefault="000D5960" w:rsidP="000D596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วงเงินอนุมัติ </w:t>
      </w:r>
      <w:r>
        <w:t xml:space="preserve">3 </w:t>
      </w:r>
      <w:r>
        <w:rPr>
          <w:rFonts w:hint="cs"/>
          <w:cs/>
        </w:rPr>
        <w:t xml:space="preserve">เท่าของยอดขายเฉลี่ยต่อเดือน สูงสุดไม่เกิน </w:t>
      </w:r>
      <w:r>
        <w:t xml:space="preserve">10 </w:t>
      </w:r>
      <w:r>
        <w:rPr>
          <w:rFonts w:hint="cs"/>
          <w:cs/>
        </w:rPr>
        <w:t>ล้านบาท</w:t>
      </w:r>
    </w:p>
    <w:p w14:paraId="60A3B3E5" w14:textId="7618A6D5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ประเภทสินเชื่อ วงเงินกู้เบิกเกินบัญชี </w:t>
      </w:r>
      <w:r>
        <w:t>(OD)</w:t>
      </w:r>
    </w:p>
    <w:p w14:paraId="0621808B" w14:textId="66F0E5BC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ระยะเวลา </w:t>
      </w:r>
      <w:r>
        <w:t xml:space="preserve">1 </w:t>
      </w:r>
      <w:r>
        <w:rPr>
          <w:rFonts w:hint="cs"/>
          <w:cs/>
        </w:rPr>
        <w:t>ปี และทบทวนวงเงินทุกปี</w:t>
      </w:r>
    </w:p>
    <w:p w14:paraId="1BC39555" w14:textId="42834B88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หลักประกัน</w:t>
      </w:r>
    </w:p>
    <w:p w14:paraId="7FC4870C" w14:textId="1369903A" w:rsidR="000D5960" w:rsidRDefault="000D5960" w:rsidP="000D5960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อสังหาริมทรัพย์ เช่น ที่ดินพร้อมสิ่งปลูกสร้าง สถานประกอบการที่อยู่อาศัย </w:t>
      </w:r>
      <w:r>
        <w:t>(</w:t>
      </w:r>
      <w:r>
        <w:rPr>
          <w:rFonts w:hint="cs"/>
          <w:cs/>
        </w:rPr>
        <w:t>บ้านเดี่ยว ทาวน์เฮ้าส์ คอนโดมิเนียม</w:t>
      </w:r>
      <w:r>
        <w:t>)</w:t>
      </w:r>
    </w:p>
    <w:p w14:paraId="3CAC0820" w14:textId="4EBC66B7" w:rsidR="000D5960" w:rsidRDefault="000D5960" w:rsidP="000D5960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เงินฝากบัญชีออมทรัพย์</w:t>
      </w:r>
    </w:p>
    <w:p w14:paraId="6E3F6646" w14:textId="6CEBAE03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อัตราสินเชื่อต่อค่าหลักประกัน </w:t>
      </w:r>
      <w:r>
        <w:t xml:space="preserve">(LTV) </w:t>
      </w:r>
      <w:r>
        <w:rPr>
          <w:rFonts w:hint="cs"/>
          <w:cs/>
        </w:rPr>
        <w:t xml:space="preserve">สูงสุด </w:t>
      </w:r>
      <w:r>
        <w:t>300%</w:t>
      </w:r>
    </w:p>
    <w:p w14:paraId="79BF9846" w14:textId="354AF405" w:rsidR="000D5960" w:rsidRDefault="000D5960" w:rsidP="000D596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อัตราดอกเบี้ย </w:t>
      </w:r>
      <w:r>
        <w:t xml:space="preserve">MOR – 0.53% </w:t>
      </w:r>
      <w:r>
        <w:rPr>
          <w:rFonts w:hint="cs"/>
          <w:cs/>
        </w:rPr>
        <w:t xml:space="preserve">ต่อปี สูงสุด </w:t>
      </w:r>
      <w:r>
        <w:t xml:space="preserve">MOR + 6.22% </w:t>
      </w:r>
      <w:r>
        <w:rPr>
          <w:rFonts w:hint="cs"/>
          <w:cs/>
        </w:rPr>
        <w:t>ต่อปี</w:t>
      </w:r>
    </w:p>
    <w:p w14:paraId="44CA2B1B" w14:textId="605E5C72" w:rsidR="000D5960" w:rsidRDefault="000D5960" w:rsidP="000D596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วงเงินกู้เบิกเกินบัญชี </w:t>
      </w:r>
      <w:r>
        <w:t xml:space="preserve">(OD) </w:t>
      </w:r>
      <w:r>
        <w:rPr>
          <w:rFonts w:hint="cs"/>
          <w:cs/>
        </w:rPr>
        <w:t>แบบ</w:t>
      </w:r>
      <w:r>
        <w:rPr>
          <w:rFonts w:hint="cs"/>
          <w:cs/>
        </w:rPr>
        <w:t>ไม่</w:t>
      </w:r>
      <w:r>
        <w:rPr>
          <w:rFonts w:hint="cs"/>
          <w:cs/>
        </w:rPr>
        <w:t>ใช้หลักทรัพย์ค้ำประกัน</w:t>
      </w:r>
    </w:p>
    <w:p w14:paraId="3B9931DB" w14:textId="69A16865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คุณสมบัติผู้ขอสินเชื่อ </w:t>
      </w:r>
      <w:r>
        <w:rPr>
          <w:rFonts w:hint="cs"/>
          <w:cs/>
        </w:rPr>
        <w:t>นิติบุคคล</w:t>
      </w:r>
      <w:r>
        <w:t>/</w:t>
      </w:r>
      <w:r>
        <w:rPr>
          <w:rFonts w:hint="cs"/>
          <w:cs/>
        </w:rPr>
        <w:t xml:space="preserve">บุคคลธรรมดา อายุระหว่าง </w:t>
      </w:r>
      <w:r>
        <w:t xml:space="preserve">20-65 </w:t>
      </w:r>
      <w:r>
        <w:rPr>
          <w:rFonts w:hint="cs"/>
          <w:cs/>
        </w:rPr>
        <w:t>ปี ที่มีสัญชาติไทย</w:t>
      </w:r>
    </w:p>
    <w:p w14:paraId="4381AA9D" w14:textId="49B550AD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ประสบการณ์ในธุรกิจ </w:t>
      </w:r>
      <w:r>
        <w:t>5</w:t>
      </w:r>
      <w:r>
        <w:t xml:space="preserve"> </w:t>
      </w:r>
      <w:r>
        <w:rPr>
          <w:rFonts w:hint="cs"/>
          <w:cs/>
        </w:rPr>
        <w:t>ปีขึ้นไป</w:t>
      </w:r>
    </w:p>
    <w:p w14:paraId="61A37061" w14:textId="77777777" w:rsidR="000D5960" w:rsidRDefault="000D5960" w:rsidP="000D596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วงเงินอนุมัติ </w:t>
      </w:r>
      <w:r>
        <w:t xml:space="preserve">3 </w:t>
      </w:r>
      <w:r>
        <w:rPr>
          <w:rFonts w:hint="cs"/>
          <w:cs/>
        </w:rPr>
        <w:t xml:space="preserve">เท่าของยอดขายเฉลี่ยต่อเดือน สูงสุดไม่เกิน </w:t>
      </w:r>
      <w:r>
        <w:t xml:space="preserve">10 </w:t>
      </w:r>
      <w:r>
        <w:rPr>
          <w:rFonts w:hint="cs"/>
          <w:cs/>
        </w:rPr>
        <w:t>ล้านบาท</w:t>
      </w:r>
    </w:p>
    <w:p w14:paraId="295FB73F" w14:textId="77777777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ประเภทสินเชื่อ วงเงินกู้เบิกเกินบัญชี </w:t>
      </w:r>
      <w:r>
        <w:t>(OD)</w:t>
      </w:r>
    </w:p>
    <w:p w14:paraId="5805BF81" w14:textId="77777777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ระยะเวลา </w:t>
      </w:r>
      <w:r>
        <w:t xml:space="preserve">1 </w:t>
      </w:r>
      <w:r>
        <w:rPr>
          <w:rFonts w:hint="cs"/>
          <w:cs/>
        </w:rPr>
        <w:t>ปี และทบทวนวงเงินทุกปี</w:t>
      </w:r>
    </w:p>
    <w:p w14:paraId="7AB162FC" w14:textId="77777777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หลักประกัน</w:t>
      </w:r>
    </w:p>
    <w:p w14:paraId="45A1160C" w14:textId="6BA98002" w:rsidR="000D5960" w:rsidRDefault="000D5960" w:rsidP="000D5960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>ไม่ใช้หลักทรัพย์ค้ำประกัน</w:t>
      </w:r>
    </w:p>
    <w:p w14:paraId="19749833" w14:textId="2E828679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ไม่มี</w:t>
      </w:r>
      <w:r>
        <w:rPr>
          <w:rFonts w:hint="cs"/>
          <w:cs/>
        </w:rPr>
        <w:t xml:space="preserve">อัตราสินเชื่อต่อค่าหลักประกัน </w:t>
      </w:r>
      <w:r>
        <w:t>(LTV)</w:t>
      </w:r>
    </w:p>
    <w:p w14:paraId="44DB3B25" w14:textId="592FFDC0" w:rsidR="000D5960" w:rsidRDefault="000D5960" w:rsidP="000D596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อัตราดอกเบี้ย ต่ำสุด </w:t>
      </w:r>
      <w:r>
        <w:t xml:space="preserve">MOR + 8.22% </w:t>
      </w:r>
      <w:r>
        <w:rPr>
          <w:rFonts w:hint="cs"/>
          <w:cs/>
        </w:rPr>
        <w:t xml:space="preserve">ต่อปี สูงสุด </w:t>
      </w:r>
      <w:r>
        <w:t xml:space="preserve">MOR + 8.87% </w:t>
      </w:r>
      <w:r>
        <w:rPr>
          <w:rFonts w:hint="cs"/>
          <w:cs/>
        </w:rPr>
        <w:t>ต่อปี</w:t>
      </w:r>
    </w:p>
    <w:p w14:paraId="62D66689" w14:textId="5F69C633" w:rsidR="000D5960" w:rsidRDefault="000D5960" w:rsidP="000D5960">
      <w:r>
        <w:rPr>
          <w:rFonts w:hint="cs"/>
          <w:cs/>
        </w:rPr>
        <w:lastRenderedPageBreak/>
        <w:t>หมายเหตุ</w:t>
      </w:r>
      <w:r>
        <w:t>:</w:t>
      </w:r>
    </w:p>
    <w:p w14:paraId="3B2159CA" w14:textId="105971B4" w:rsidR="000D5960" w:rsidRDefault="000D5960" w:rsidP="000D596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รายละเอียดการพิจารณาสินเชื่อเป็นไปตามหลักเกณฑ์ และเงื่อนไขที่ธนาคารไทยเครดิตกำหนด</w:t>
      </w:r>
    </w:p>
    <w:p w14:paraId="0C52CDF7" w14:textId="1F2FE65E" w:rsidR="000D5960" w:rsidRDefault="000D5960" w:rsidP="000D596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อัตราดอกเบี้ย </w:t>
      </w:r>
      <w:r>
        <w:t xml:space="preserve">MOR </w:t>
      </w:r>
      <w:r>
        <w:rPr>
          <w:rFonts w:hint="cs"/>
          <w:cs/>
        </w:rPr>
        <w:t>ณ</w:t>
      </w:r>
      <w:r>
        <w:t>.</w:t>
      </w:r>
      <w:r>
        <w:rPr>
          <w:rFonts w:hint="cs"/>
          <w:cs/>
        </w:rPr>
        <w:t xml:space="preserve"> ปัจจุบัน </w:t>
      </w:r>
      <w:r>
        <w:t xml:space="preserve">= 9.08% </w:t>
      </w:r>
      <w:r>
        <w:rPr>
          <w:rFonts w:hint="cs"/>
          <w:cs/>
        </w:rPr>
        <w:t xml:space="preserve">ต่อปี ทั้งนี้ อัตราดอกเบี้ยดังกล่าว อาจมีการเปลี่ยนแปลงได้ตามประกาศธนาคารในเว็บไซต์ </w:t>
      </w:r>
      <w:hyperlink r:id="rId5" w:history="1">
        <w:r w:rsidRPr="000949D3">
          <w:rPr>
            <w:rStyle w:val="Hyperlink"/>
          </w:rPr>
          <w:t>www.thaicreditbank.com</w:t>
        </w:r>
      </w:hyperlink>
    </w:p>
    <w:p w14:paraId="1F400440" w14:textId="77777777" w:rsidR="000D5960" w:rsidRDefault="000D5960" w:rsidP="000D5960"/>
    <w:p w14:paraId="418D5980" w14:textId="77777777" w:rsidR="000D5960" w:rsidRDefault="000D5960" w:rsidP="000D5960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</w:rPr>
      </w:pPr>
      <w:r>
        <w:rPr>
          <w:rStyle w:val="Strong"/>
          <w:rFonts w:ascii="db_helvethaica_x" w:hAnsi="db_helvethaica_x" w:cs="Angsana New"/>
          <w:b w:val="0"/>
          <w:bCs w:val="0"/>
          <w:color w:val="000099"/>
          <w:sz w:val="72"/>
          <w:szCs w:val="72"/>
          <w:cs/>
        </w:rPr>
        <w:t>รายละเอียดประกอบการพิจารณา</w:t>
      </w:r>
    </w:p>
    <w:p w14:paraId="66AF6BB9" w14:textId="77777777" w:rsidR="000D5960" w:rsidRDefault="000D5960" w:rsidP="000D5960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777777"/>
          <w:spacing w:val="15"/>
          <w:sz w:val="39"/>
          <w:szCs w:val="39"/>
        </w:rPr>
      </w:pPr>
      <w:r>
        <w:rPr>
          <w:rFonts w:ascii="db_helvethaica_x" w:hAnsi="db_helvethaica_x" w:cs="Angsana New"/>
          <w:color w:val="777777"/>
          <w:spacing w:val="15"/>
          <w:sz w:val="39"/>
          <w:szCs w:val="39"/>
          <w:cs/>
        </w:rPr>
        <w:t xml:space="preserve">เอกสารประกอบการพิจารณาสินเชื่อ </w:t>
      </w:r>
      <w:r>
        <w:rPr>
          <w:rFonts w:ascii="db_helvethaica_x" w:hAnsi="db_helvethaica_x"/>
          <w:color w:val="777777"/>
          <w:spacing w:val="15"/>
          <w:sz w:val="39"/>
          <w:szCs w:val="39"/>
        </w:rPr>
        <w:t xml:space="preserve">SME </w:t>
      </w:r>
      <w:r>
        <w:rPr>
          <w:rFonts w:ascii="db_helvethaica_x" w:hAnsi="db_helvethaica_x" w:cs="Angsana New"/>
          <w:color w:val="777777"/>
          <w:spacing w:val="15"/>
          <w:sz w:val="39"/>
          <w:szCs w:val="39"/>
          <w:cs/>
        </w:rPr>
        <w:t xml:space="preserve">กล้าให้ </w:t>
      </w:r>
      <w:r>
        <w:rPr>
          <w:rFonts w:ascii="db_helvethaica_x" w:hAnsi="db_helvethaica_x"/>
          <w:color w:val="777777"/>
          <w:spacing w:val="15"/>
          <w:sz w:val="39"/>
          <w:szCs w:val="39"/>
        </w:rPr>
        <w:t>Standby OD</w:t>
      </w:r>
    </w:p>
    <w:p w14:paraId="671202EA" w14:textId="77777777" w:rsidR="000D5960" w:rsidRDefault="000D5960" w:rsidP="000D5960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กรณีบุคคลธรรมดา</w:t>
      </w:r>
    </w:p>
    <w:p w14:paraId="3906AC1E" w14:textId="77777777" w:rsidR="000D5960" w:rsidRDefault="000D5960" w:rsidP="000D5960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สำเนาบัตรประชาชนและสำเนาทะเบียนบ้านของผู้สมัคร คู่สมรสผู้สมัคร เจ้าของหลักประกัน</w:t>
      </w:r>
    </w:p>
    <w:p w14:paraId="5005BDF5" w14:textId="77777777" w:rsidR="000D5960" w:rsidRDefault="000D5960" w:rsidP="000D5960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เอกสารแสดงรายได้ของกิจการ เช่น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ย้อนหลังไม่น้อยกว่า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หรือเอกสารแสดงรายได้อื่นๆ เช่น บิลการค้า เป็นต้น</w:t>
      </w:r>
    </w:p>
    <w:p w14:paraId="07554FA7" w14:textId="77777777" w:rsidR="000D5960" w:rsidRDefault="000D5960" w:rsidP="000D5960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ใบเปลี่ยนชื่อ/นามสกุลของผู้สมัคร คู่สมรสผู้สมัคร เจ้าของหลักประกัน (ถ้ามี)</w:t>
      </w:r>
    </w:p>
    <w:p w14:paraId="6EDD5F81" w14:textId="77777777" w:rsidR="000D5960" w:rsidRDefault="000D5960" w:rsidP="000D5960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สำเนาทะเบียนสมรส (ถ้ามี)</w:t>
      </w:r>
    </w:p>
    <w:p w14:paraId="3DA5CDA7" w14:textId="77777777" w:rsidR="000D5960" w:rsidRDefault="000D5960" w:rsidP="000D5960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หนังสือรับรองการจดทะเบียนพาณิชย์ และ / หรือ เอกสารทางราชการอื่น ๆ</w:t>
      </w:r>
    </w:p>
    <w:p w14:paraId="1CCF47D4" w14:textId="77777777" w:rsidR="000D5960" w:rsidRDefault="000D5960" w:rsidP="000D5960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/>
          <w:color w:val="4C4C4C"/>
          <w:spacing w:val="15"/>
          <w:sz w:val="30"/>
          <w:szCs w:val="30"/>
        </w:rPr>
        <w:t> 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สำเนาเอกสารสิทธิหลักประกัน (เฉพาะวงเงินกู้เบิกเกินบัญชี (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OD)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แบบใช้หลักทรัพย์ค้ำประกันเท่านั้น) เช่น โฉนดที่ดินหรือสำเนาหนังสือกรรมสิทธิ์ห้องชุด ฯลฯ</w:t>
      </w:r>
    </w:p>
    <w:p w14:paraId="5703406B" w14:textId="77777777" w:rsidR="000D5960" w:rsidRDefault="000D5960" w:rsidP="000D5960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กรณีนิติบุคคล</w:t>
      </w:r>
    </w:p>
    <w:p w14:paraId="32CB2FC0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/>
          <w:color w:val="4C4C4C"/>
          <w:spacing w:val="15"/>
          <w:sz w:val="30"/>
          <w:szCs w:val="30"/>
        </w:rPr>
        <w:t> 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สำเนาบัตรประชาชนและสำเนาทะเบียนบ้านของบุคคลดังต่อไปนี้ กรรมการผู้มีอำนาจลงนาม ผู้ถือหุ้นตั้งแต่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20%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ขึ้นไปทุกคน/ผู้ค้ำประกันทุกคน/เจ้าของหลักประกัน</w:t>
      </w:r>
    </w:p>
    <w:p w14:paraId="37F39B4A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lastRenderedPageBreak/>
        <w:t xml:space="preserve">สำเนาหนังสือรับรองการจดทะเบียนนิติบุคคล และสำเนาวัตถุประสงค์ของนิติบุคคล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179924C0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สำเนาหนังสือบริคณห์สนธิ และข้อบังคับของนิติบุคคล และสำเนาตราประทับ</w:t>
      </w:r>
    </w:p>
    <w:p w14:paraId="69239C6F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สำเนาทะเบียนผู้ถือหุ้น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1635417E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สำเนารายการจดทะเบียนจัดตั้ง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3)</w:t>
      </w:r>
    </w:p>
    <w:p w14:paraId="141E3938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สำเนารายการจดทะเบียนแก้ไขเพิ่มเติม และ/หรือ มติพิเศษ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4) (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ถ้ามี)</w:t>
      </w:r>
    </w:p>
    <w:p w14:paraId="6685E6E4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งบการเงิน ฉบับยื่นสรรพากรปีล่าสุด และย้อนหลัง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</w:t>
      </w:r>
    </w:p>
    <w:p w14:paraId="39F7B8F5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เอกสารใบสรุปภาษีมูลค่าเพิ่ม/ภาษีหัก ณ ที่จ่าย 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(ถ้ามี)</w:t>
      </w:r>
    </w:p>
    <w:p w14:paraId="6F7F59B4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เอกสารแสดงรายได้ของกิจการ เช่น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ย้อนหลังไม่น้อยกว่า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 หรือ เอกสารแสดงรายได้อื่นๆ เช่น บิลการค้า เป็นต้น</w:t>
      </w:r>
    </w:p>
    <w:p w14:paraId="03A15245" w14:textId="77777777" w:rsidR="000D5960" w:rsidRDefault="000D5960" w:rsidP="000D5960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เสำเนาเอกสารสิทธิหลักประกัน (เฉพาะวงเงินกู้เบิกเกินบัญชี (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OD)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แบบใช้หลักทรัพย์ค้ำประกันเท่านั้น) เช่น โฉนดที่ดินหรือสำเนาหนังสือกรรมสิทธิ์ห้องชุด ฯลฯ</w:t>
      </w:r>
    </w:p>
    <w:p w14:paraId="6E514C22" w14:textId="5EDDC88D" w:rsidR="000D5960" w:rsidRDefault="000D5960" w:rsidP="000D5960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  <w:r>
        <w:rPr>
          <w:rFonts w:ascii="db_helvethaica_x" w:hAnsi="db_helvethaica_x"/>
          <w:color w:val="4C4C4C"/>
          <w:sz w:val="38"/>
          <w:szCs w:val="38"/>
          <w:shd w:val="clear" w:color="auto" w:fill="FFFFFF"/>
        </w:rPr>
        <w:t xml:space="preserve">* </w:t>
      </w:r>
      <w:proofErr w:type="gramStart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>หมายเหตุ :</w:t>
      </w:r>
      <w:proofErr w:type="gramEnd"/>
      <w: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  <w:cs/>
        </w:rPr>
        <w:t xml:space="preserve"> รายละเอียดการพิจารณาสินเชื่อเป็นไปตามหลักเกณฑ์ และเงื่อนไขที่ธนาคารฯ กำหนด</w:t>
      </w:r>
    </w:p>
    <w:p w14:paraId="776222EA" w14:textId="77777777" w:rsidR="000D5960" w:rsidRDefault="000D5960" w:rsidP="000D5960">
      <w:pPr>
        <w:rPr>
          <w:rFonts w:ascii="db_helvethaica_x" w:hAnsi="db_helvethaica_x" w:cs="Angsana New"/>
          <w:color w:val="4C4C4C"/>
          <w:sz w:val="38"/>
          <w:szCs w:val="38"/>
          <w:shd w:val="clear" w:color="auto" w:fill="FFFFFF"/>
        </w:rPr>
      </w:pPr>
    </w:p>
    <w:p w14:paraId="103F181B" w14:textId="77777777" w:rsidR="000D5960" w:rsidRDefault="000D5960" w:rsidP="000D5960">
      <w:pPr>
        <w:pStyle w:val="Heading2"/>
        <w:shd w:val="clear" w:color="auto" w:fill="FFFFFF"/>
        <w:spacing w:before="0"/>
        <w:rPr>
          <w:rFonts w:ascii="db_helvethaica_x" w:hAnsi="db_helvethaica_x"/>
          <w:color w:val="4C4C4C"/>
        </w:rPr>
      </w:pPr>
      <w:r>
        <w:rPr>
          <w:rStyle w:val="Strong"/>
          <w:rFonts w:ascii="db_helvethaica_x" w:hAnsi="db_helvethaica_x" w:cs="Angsana New"/>
          <w:b w:val="0"/>
          <w:bCs w:val="0"/>
          <w:color w:val="013CA6"/>
          <w:sz w:val="72"/>
          <w:szCs w:val="72"/>
          <w:cs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811"/>
        <w:gridCol w:w="6364"/>
      </w:tblGrid>
      <w:tr w:rsidR="000D5960" w14:paraId="6F62F60E" w14:textId="77777777" w:rsidTr="000D5960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5F8C8931" w14:textId="77777777" w:rsidR="000D5960" w:rsidRDefault="000D5960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2D77FE49" w14:textId="77777777" w:rsidR="000D5960" w:rsidRDefault="000D5960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9.50 %</w:t>
            </w:r>
          </w:p>
        </w:tc>
      </w:tr>
      <w:tr w:rsidR="000D5960" w14:paraId="2E195619" w14:textId="77777777" w:rsidTr="000D5960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286787D" w14:textId="77777777" w:rsidR="000D5960" w:rsidRDefault="000D5960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BC92190" w14:textId="77777777" w:rsidR="000D5960" w:rsidRDefault="000D5960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9.08 %</w:t>
            </w:r>
          </w:p>
        </w:tc>
      </w:tr>
      <w:tr w:rsidR="000D5960" w14:paraId="1EC3C263" w14:textId="77777777" w:rsidTr="000D5960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1D08CD2F" w14:textId="77777777" w:rsidR="000D5960" w:rsidRDefault="000D5960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lastRenderedPageBreak/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75B43E37" w14:textId="77777777" w:rsidR="000D5960" w:rsidRDefault="000D5960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10.15 %</w:t>
            </w:r>
          </w:p>
        </w:tc>
      </w:tr>
      <w:tr w:rsidR="000D5960" w14:paraId="6720AD8A" w14:textId="77777777" w:rsidTr="000D5960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570513EC" w14:textId="77777777" w:rsidR="000D5960" w:rsidRDefault="000D5960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78DA3B45" w14:textId="77777777" w:rsidR="000D5960" w:rsidRDefault="000D5960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7.90 %</w:t>
            </w:r>
          </w:p>
        </w:tc>
      </w:tr>
      <w:tr w:rsidR="000D5960" w14:paraId="497D09ED" w14:textId="77777777" w:rsidTr="000D5960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6BAE817D" w14:textId="77777777" w:rsidR="000D5960" w:rsidRDefault="000D5960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20AA8A01" w14:textId="77777777" w:rsidR="000D5960" w:rsidRDefault="000D5960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16.55 %</w:t>
            </w:r>
          </w:p>
        </w:tc>
      </w:tr>
    </w:tbl>
    <w:p w14:paraId="2885E767" w14:textId="77777777" w:rsidR="000D5960" w:rsidRPr="000D5960" w:rsidRDefault="000D5960" w:rsidP="000D5960"/>
    <w:p w14:paraId="2CCA7378" w14:textId="77777777" w:rsidR="000D5960" w:rsidRDefault="000D5960" w:rsidP="000D5960">
      <w:pPr>
        <w:rPr>
          <w:rFonts w:hint="cs"/>
        </w:rPr>
      </w:pPr>
    </w:p>
    <w:p w14:paraId="47D48A79" w14:textId="152197D3" w:rsidR="000D5960" w:rsidRDefault="000D5960" w:rsidP="000D5960">
      <w:pPr>
        <w:pStyle w:val="ListParagraph"/>
        <w:rPr>
          <w:rFonts w:hint="cs"/>
        </w:rPr>
      </w:pPr>
    </w:p>
    <w:sectPr w:rsidR="000D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76DB"/>
    <w:multiLevelType w:val="hybridMultilevel"/>
    <w:tmpl w:val="A58A4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A57397"/>
    <w:multiLevelType w:val="multilevel"/>
    <w:tmpl w:val="6B1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41F20"/>
    <w:multiLevelType w:val="hybridMultilevel"/>
    <w:tmpl w:val="6BEC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13580"/>
    <w:multiLevelType w:val="hybridMultilevel"/>
    <w:tmpl w:val="C69A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A7BA5"/>
    <w:multiLevelType w:val="multilevel"/>
    <w:tmpl w:val="870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81087">
    <w:abstractNumId w:val="3"/>
  </w:num>
  <w:num w:numId="2" w16cid:durableId="1349524575">
    <w:abstractNumId w:val="0"/>
  </w:num>
  <w:num w:numId="3" w16cid:durableId="1175800959">
    <w:abstractNumId w:val="2"/>
  </w:num>
  <w:num w:numId="4" w16cid:durableId="179513359">
    <w:abstractNumId w:val="4"/>
  </w:num>
  <w:num w:numId="5" w16cid:durableId="136475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60"/>
    <w:rsid w:val="000D5960"/>
    <w:rsid w:val="0045158A"/>
    <w:rsid w:val="008B7D0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9364"/>
  <w15:chartTrackingRefBased/>
  <w15:docId w15:val="{AE967853-5B6D-47A9-8A81-58F570C7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9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6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0D5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96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0D5960"/>
    <w:rPr>
      <w:b/>
      <w:bCs/>
    </w:rPr>
  </w:style>
  <w:style w:type="paragraph" w:styleId="ListParagraph">
    <w:name w:val="List Paragraph"/>
    <w:basedOn w:val="Normal"/>
    <w:uiPriority w:val="34"/>
    <w:qFormat/>
    <w:rsid w:val="000D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9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96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aicreditba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2024-02-18T15:16:00Z</dcterms:created>
  <dcterms:modified xsi:type="dcterms:W3CDTF">2024-02-18T15:25:00Z</dcterms:modified>
</cp:coreProperties>
</file>