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6AC9" w14:textId="77777777" w:rsidR="002A551B" w:rsidRPr="002A551B" w:rsidRDefault="002A551B" w:rsidP="002A551B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2A551B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br/>
      </w:r>
      <w:r w:rsidRPr="002A551B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สินเชื่อสำหรับธุรกิจ อพาร์ทเมนท์</w:t>
      </w:r>
    </w:p>
    <w:p w14:paraId="16B150E7" w14:textId="77777777" w:rsidR="002A551B" w:rsidRPr="002A551B" w:rsidRDefault="002A551B" w:rsidP="002A551B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2A551B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ธนาคารไทยเครดิต จำกัด (มหาชน) สนับสนุนวงเงิน สินเชื่อแก่ผู้ประกอบการธุรกิจอพาร์ทเมนท์ทั้งบุคคล.</w:t>
      </w:r>
    </w:p>
    <w:p w14:paraId="3A3DF000" w14:textId="77777777" w:rsidR="008B7D0D" w:rsidRDefault="008B7D0D"/>
    <w:p w14:paraId="795101AB" w14:textId="77777777" w:rsidR="002A551B" w:rsidRDefault="002A551B"/>
    <w:p w14:paraId="3301E4FF" w14:textId="77777777" w:rsidR="002A551B" w:rsidRDefault="002A551B" w:rsidP="002A551B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cs/>
        </w:rPr>
        <w:t>สินเชื่อสำหรับธุรกิจ อพาร์ทเมนท์</w:t>
      </w:r>
      <w:r>
        <w:rPr>
          <w:rFonts w:ascii="db_helvethaica_x" w:hAnsi="db_helvethaica_x"/>
          <w:b/>
          <w:bCs/>
          <w:color w:val="4C4C4C"/>
        </w:rPr>
        <w:br/>
      </w:r>
      <w:r>
        <w:rPr>
          <w:rFonts w:ascii="db_helvethaica_x" w:hAnsi="db_helvethaica_x" w:cs="Angsana New"/>
          <w:b/>
          <w:bCs/>
          <w:color w:val="7F7F7F"/>
          <w:cs/>
        </w:rPr>
        <w:t>ธนาคารไทยเครดิต จำกัด (มหาชน) สนับสนุนวงเงินสินเชื่อแก่ผู้ประกอบการธุรกิจอพาร์ทเมนท์ ทั้งบุคคลธรรมดาและนิติบุคคล</w:t>
      </w:r>
      <w:r>
        <w:rPr>
          <w:rFonts w:ascii="db_helvethaica_x" w:hAnsi="db_helvethaica_x"/>
          <w:b/>
          <w:bCs/>
          <w:color w:val="4C4C4C"/>
        </w:rPr>
        <w:br/>
        <w:t> </w:t>
      </w:r>
    </w:p>
    <w:p w14:paraId="6ABADE67" w14:textId="77777777" w:rsidR="002A551B" w:rsidRDefault="002A551B" w:rsidP="002A551B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b/>
          <w:bCs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วัตถุประสงค์ในการขอสินเชื่อ</w:t>
      </w:r>
    </w:p>
    <w:p w14:paraId="1DF31878" w14:textId="77777777" w:rsidR="002A551B" w:rsidRDefault="002A551B" w:rsidP="002A551B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เพื่อซื้ออพาร์ทเมนท์เพิ่มเติมจากที่มีอยู่แล้ว</w:t>
      </w:r>
    </w:p>
    <w:p w14:paraId="11FE8186" w14:textId="77777777" w:rsidR="002A551B" w:rsidRDefault="002A551B" w:rsidP="002A551B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เพื่อรีไฟแนนซ์</w:t>
      </w:r>
    </w:p>
    <w:p w14:paraId="6BBBA18E" w14:textId="77777777" w:rsidR="002A551B" w:rsidRDefault="002A551B" w:rsidP="002A551B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เพื่อชดเชยค่าก่อสร้าง / เงินลงทุน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Refund)</w:t>
      </w:r>
    </w:p>
    <w:p w14:paraId="1831C76A" w14:textId="77777777" w:rsidR="002A551B" w:rsidRDefault="002A551B" w:rsidP="002A551B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เพื่อใช้ในการดำเนินธุรกิจ (สูงสุดไม่เกิน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5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ล้านบาท ภายใต้เงื่อนไข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LTV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เฉพาะวัตถุประสงค์ข้อนี้ไม่เกิน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20%</w:t>
      </w:r>
    </w:p>
    <w:p w14:paraId="48BBE6AE" w14:textId="77777777" w:rsidR="002A551B" w:rsidRDefault="002A551B" w:rsidP="002A551B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เงื่อนไข</w:t>
      </w:r>
    </w:p>
    <w:p w14:paraId="6B8D6B63" w14:textId="77777777" w:rsidR="002A551B" w:rsidRDefault="002A551B" w:rsidP="002A551B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วงเงินสินเชื่อสูงสุดไม่เกิน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ล้านบาท</w:t>
      </w:r>
    </w:p>
    <w:p w14:paraId="2B5DAE6D" w14:textId="77777777" w:rsidR="002A551B" w:rsidRDefault="002A551B" w:rsidP="002A551B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ระยะเวลากู้ 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ปี (อายุอาคารรวมระยะเวลากู้ไม่เกิน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ปี)</w:t>
      </w:r>
    </w:p>
    <w:p w14:paraId="43F95002" w14:textId="77777777" w:rsidR="002A551B" w:rsidRDefault="002A551B" w:rsidP="002A551B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หลักประกันที่ดินพร้อมสิ่งปลูกสร้างอพาร์ทเมนท์</w:t>
      </w:r>
    </w:p>
    <w:p w14:paraId="4E7F3059" w14:textId="77777777" w:rsidR="002A551B" w:rsidRDefault="002A551B" w:rsidP="002A551B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คุณสมบัติของผู้กู้</w:t>
      </w:r>
    </w:p>
    <w:p w14:paraId="006E9516" w14:textId="77777777" w:rsidR="002A551B" w:rsidRDefault="002A551B" w:rsidP="002A551B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ผู้ขอสินเชื่อประเภทบุคคลธรรมดา หรือผู้ขอสินเชื่อประเภทนิติบุคคล</w:t>
      </w:r>
    </w:p>
    <w:p w14:paraId="2D5A1CCC" w14:textId="77777777" w:rsidR="002A551B" w:rsidRDefault="002A551B" w:rsidP="002A551B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กรณีผู้ขอสินเชื่อเป็นบุคคลธรรมดา อายุไม่เกิน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65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ปี (กรณีมีผู้กู้ร่วม คนใดคนหนึ่งต้องอายุไม่เกิน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65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ปี)</w:t>
      </w:r>
    </w:p>
    <w:p w14:paraId="750F939A" w14:textId="77777777" w:rsidR="002A551B" w:rsidRDefault="002A551B" w:rsidP="002A551B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ดำเนินธุรกิจอพาร์ทเมนท์ให้เช่ามาไม่น้อยกว่า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719E69F3" w14:textId="77777777" w:rsidR="002A551B" w:rsidRDefault="002A551B" w:rsidP="002A551B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ป็นเจ้าของกรรมสิทธิ์ที่ดินหรือสิ่งปลูกสร้างหรือสัญญาเช่าที่มีอายุสัญญาคงเหลือไม่น้อยกว่าระยะเวลาการกู้</w:t>
      </w:r>
    </w:p>
    <w:p w14:paraId="65538031" w14:textId="77777777" w:rsidR="002A551B" w:rsidRDefault="002A551B" w:rsidP="002A551B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มีจำนวนห้องพักในอพาร์ทเมนท์อย่างน้อย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ห้อง และมีอัตราการเข้าพัก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Occupancy Rate)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ขั้นต่ำร้อยละ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70</w:t>
      </w:r>
    </w:p>
    <w:p w14:paraId="4F69CDD0" w14:textId="77777777" w:rsidR="002A551B" w:rsidRDefault="002A551B" w:rsidP="002A551B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  <w:sz w:val="36"/>
          <w:szCs w:val="36"/>
        </w:rPr>
      </w:pPr>
      <w:r>
        <w:rPr>
          <w:rFonts w:ascii="db_helvethaica_x" w:hAnsi="db_helvethaica_x"/>
          <w:b/>
          <w:bCs/>
          <w:color w:val="4C4C4C"/>
        </w:rPr>
        <w:t> </w:t>
      </w:r>
    </w:p>
    <w:p w14:paraId="290981A0" w14:textId="77777777" w:rsidR="002A551B" w:rsidRDefault="002A551B" w:rsidP="002A551B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6CBEA187" w14:textId="77777777" w:rsidR="002A551B" w:rsidRDefault="002A551B" w:rsidP="002A551B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รายละเอียดประกอบการพิจารณา</w:t>
      </w:r>
    </w:p>
    <w:p w14:paraId="6847A00B" w14:textId="77777777" w:rsidR="002A551B" w:rsidRDefault="002A551B" w:rsidP="002A551B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>เอกสารประกอบการพิจารณาสินเชื่อ สำหรับธุรกิจ อพาร์ทเมนท์</w:t>
      </w:r>
    </w:p>
    <w:p w14:paraId="1ED3A455" w14:textId="77777777" w:rsidR="002A551B" w:rsidRDefault="002A551B" w:rsidP="002A551B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38541EA8" w14:textId="77777777" w:rsidR="002A551B" w:rsidRDefault="002A551B" w:rsidP="002A551B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กรณีบุคคลธรรมดา</w:t>
      </w:r>
    </w:p>
    <w:p w14:paraId="0E28DB57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บัตรประชาชน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ทะเบียนบ้าน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ทะเบียนสมรส-หย่า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ใบเปลี่ยนแปลงชื่อ-สกุล หรือบัตรประจำตัวอื่น ของผู้กู้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ผู้ค้ำประกัน และคู่สมรสของผู้กู้และผู้ค้ำประกัน</w:t>
      </w:r>
    </w:p>
    <w:p w14:paraId="507356F2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ทะเบียนการค้า / ทะเบียนพาณิชย์</w:t>
      </w:r>
    </w:p>
    <w:p w14:paraId="73DB608C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ผลการเดินบัญชี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บัญชีเดินสะพัด/ออมทรัพย์ ของผู้กู้ และผู้ค้ำประกัน กับสถาบันการเงินที่ติดต่อล่าสุดอย่างน้อย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</w:t>
      </w:r>
    </w:p>
    <w:p w14:paraId="4213C482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lastRenderedPageBreak/>
        <w:t xml:space="preserve">หลักฐานแสดงรายได้อย่างน้อย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เช่น ทะเบียนการเข้าพักประจำเดือน หรือ แสดงรายรับค่าเช่าประจำเดือน หรือ สัญญาเช่า/บริการ หรือ งบการเงินภายใน หรือ บัญชีรายรับ – รายจ่าย</w:t>
      </w:r>
    </w:p>
    <w:p w14:paraId="0B668D91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สลิปเงินเดือน หรือ หนังสือรับรองเงินเดือน (ถ้ามี)</w:t>
      </w:r>
    </w:p>
    <w:p w14:paraId="78519B16" w14:textId="77777777" w:rsidR="002A551B" w:rsidRDefault="002A551B" w:rsidP="002A551B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ใบอนุญาตก่อสร้างต้องตรงตามประเภทของอาคาร (อาคารพักอาศัยรวม อพาร์ทเม้นท์ หอพัก หรือ หอพักนักศึกษา)</w:t>
      </w:r>
    </w:p>
    <w:p w14:paraId="6DB789A9" w14:textId="77777777" w:rsidR="002A551B" w:rsidRDefault="002A551B" w:rsidP="002A551B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กรณีนิติบุคคล</w:t>
      </w:r>
    </w:p>
    <w:p w14:paraId="3528FD2D" w14:textId="77777777" w:rsidR="002A551B" w:rsidRDefault="002A551B" w:rsidP="002A551B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หนังสือรับรองการจดทะเบียนนิติบุคคล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หนังสือบริคณห์สนธิ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บัญชีรายชื่อผู้ถือหุ้น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บัตรประชาชนและทะเบียนบ้านของกรรมการฯ และผู้ค้ำประกัน</w:t>
      </w:r>
    </w:p>
    <w:p w14:paraId="008566AB" w14:textId="77777777" w:rsidR="002A551B" w:rsidRDefault="002A551B" w:rsidP="002A551B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งบการเงินที่ผ่านการตรวจสอบโดยผู้สอบบัญชีรับอนุญาต (งบฯ ส่งสรรพากร) ล่าสุด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ปีติดต่อกัน (ถ้ามี)</w:t>
      </w:r>
    </w:p>
    <w:p w14:paraId="18C04DE5" w14:textId="77777777" w:rsidR="002A551B" w:rsidRDefault="002A551B" w:rsidP="002A551B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ผลการเดินบัญชี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บัญชีเดินสะพัด/ออมทรัพย์ ของผู้กู้ และ/หรือ บุคคลที่เกี่ยวข้อง (ถ้ามี)และ/หรือ ผู้ค้ำประกัน (ถ้ามี) กับสถาบันการเงินที่ติดต่อล่า สุดอย่างน้อย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</w:t>
      </w:r>
    </w:p>
    <w:p w14:paraId="2478FE45" w14:textId="77777777" w:rsidR="002A551B" w:rsidRDefault="002A551B" w:rsidP="002A551B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หลักฐานแสดงรายได้อย่างน้อย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เช่น ทะเบียนการเข้าพักประจำเดือน หรือ แสดงรายรับค่าเช่าประจำเดือน หรือ สัญญาเช่า/บริการ หรือ งบการเงินภายใน หรือ บัญชีรายรับ – รายจ่าย</w:t>
      </w:r>
    </w:p>
    <w:p w14:paraId="50BF6542" w14:textId="77777777" w:rsidR="002A551B" w:rsidRDefault="002A551B" w:rsidP="002A551B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ใบอนุญาตก่อสร้างต้องตรงตามประเภทของอาคาร (อาคารพักอาศัยรวม อพาร์ทเม้นท์ หอพัก หรือ หอพักนักศึกษา)</w:t>
      </w:r>
    </w:p>
    <w:p w14:paraId="0C53A475" w14:textId="77777777" w:rsidR="002A551B" w:rsidRDefault="002A551B" w:rsidP="002A551B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2A551B" w14:paraId="7B676F01" w14:textId="77777777" w:rsidTr="002A551B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7FD8CF4D" w14:textId="77777777" w:rsidR="002A551B" w:rsidRDefault="002A551B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B95C305" w14:textId="77777777" w:rsidR="002A551B" w:rsidRDefault="002A551B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2A551B" w14:paraId="011ECA6D" w14:textId="77777777" w:rsidTr="002A551B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A1A718C" w14:textId="77777777" w:rsidR="002A551B" w:rsidRDefault="002A551B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382EF2F" w14:textId="77777777" w:rsidR="002A551B" w:rsidRDefault="002A551B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2A551B" w14:paraId="7481E489" w14:textId="77777777" w:rsidTr="002A551B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5485DE4" w14:textId="77777777" w:rsidR="002A551B" w:rsidRDefault="002A551B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446A057" w14:textId="77777777" w:rsidR="002A551B" w:rsidRDefault="002A551B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2A551B" w14:paraId="4DE8911F" w14:textId="77777777" w:rsidTr="002A551B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629436F" w14:textId="77777777" w:rsidR="002A551B" w:rsidRDefault="002A551B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680CCB85" w14:textId="77777777" w:rsidR="002A551B" w:rsidRDefault="002A551B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2A551B" w14:paraId="01ECCA81" w14:textId="77777777" w:rsidTr="002A551B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E142A00" w14:textId="77777777" w:rsidR="002A551B" w:rsidRDefault="002A551B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69C36BE" w14:textId="77777777" w:rsidR="002A551B" w:rsidRDefault="002A551B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7DE27161" w14:textId="77777777" w:rsidR="002A551B" w:rsidRDefault="002A551B">
      <w:pPr>
        <w:rPr>
          <w:rFonts w:hint="cs"/>
        </w:rPr>
      </w:pPr>
    </w:p>
    <w:sectPr w:rsidR="002A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32C"/>
    <w:multiLevelType w:val="multilevel"/>
    <w:tmpl w:val="A30E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2AD3"/>
    <w:multiLevelType w:val="multilevel"/>
    <w:tmpl w:val="24F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7FAB"/>
    <w:multiLevelType w:val="multilevel"/>
    <w:tmpl w:val="1FE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3FB8"/>
    <w:multiLevelType w:val="multilevel"/>
    <w:tmpl w:val="56EA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87549"/>
    <w:multiLevelType w:val="multilevel"/>
    <w:tmpl w:val="9AB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301156">
    <w:abstractNumId w:val="0"/>
  </w:num>
  <w:num w:numId="2" w16cid:durableId="1570968154">
    <w:abstractNumId w:val="2"/>
  </w:num>
  <w:num w:numId="3" w16cid:durableId="1292981292">
    <w:abstractNumId w:val="1"/>
  </w:num>
  <w:num w:numId="4" w16cid:durableId="884096499">
    <w:abstractNumId w:val="4"/>
  </w:num>
  <w:num w:numId="5" w16cid:durableId="66579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B"/>
    <w:rsid w:val="002A551B"/>
    <w:rsid w:val="0045158A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ABA5"/>
  <w15:chartTrackingRefBased/>
  <w15:docId w15:val="{FB9D2B42-7882-43C8-AE75-359ABE1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2A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1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1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A55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1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2024-02-18T15:33:00Z</dcterms:created>
  <dcterms:modified xsi:type="dcterms:W3CDTF">2024-02-18T15:34:00Z</dcterms:modified>
</cp:coreProperties>
</file>