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7F7F7F"/>
          <w:sz w:val="24"/>
          <w:szCs w:val="24"/>
        </w:rPr>
        <w:t xml:space="preserve">SECURITY RISK ASSESSMENT REPORT</w:t>
      </w:r>
    </w:p>
    <w:p>
      <w:pPr>
        <w:spacing w:after="160"/>
      </w:pPr>
      <w:r>
        <w:rPr>
          <w:rFonts w:ascii="Calibri" w:cs="Calibri" w:eastAsia="Calibri" w:hAnsi="Calibri"/>
          <w:b/>
          <w:bCs/>
          <w:color w:val="1F3864"/>
          <w:sz w:val="48"/>
          <w:szCs w:val="48"/>
        </w:rPr>
        <w:t xml:space="preserve">Risk Assessment with NIST Risk Management Framework (RMF)</w:t>
      </w:r>
    </w:p>
    <w:p>
      <w:pPr>
        <w:pBdr>
          <w:bottom w:val="single" w:color="1F3864" w:sz="12" w:space="6"/>
        </w:pBdr>
        <w:spacing w:after="360"/>
      </w:pPr>
      <w:r>
        <w:rPr>
          <w:rFonts w:ascii="Calibri" w:cs="Calibri" w:eastAsia="Calibri" w:hAnsi="Calibri"/>
          <w:color w:val="404040"/>
          <w:sz w:val="28"/>
          <w:szCs w:val="28"/>
        </w:rPr>
        <w:t xml:space="preserve">Mock information system: MediConnect Patient Portal</w:t>
      </w:r>
    </w:p>
    <w:p>
      <w:pPr>
        <w:spacing w:after="60" w:line="276"/>
      </w:pPr>
      <w:r>
        <w:rPr>
          <w:rFonts w:ascii="Calibri" w:cs="Calibri" w:eastAsia="Calibri" w:hAnsi="Calibri"/>
          <w:b/>
          <w:bCs/>
          <w:sz w:val="21"/>
          <w:szCs w:val="21"/>
        </w:rPr>
        <w:t xml:space="preserve">Prepared by: </w:t>
      </w:r>
      <w:r>
        <w:rPr>
          <w:rFonts w:ascii="Calibri" w:cs="Calibri" w:eastAsia="Calibri" w:hAnsi="Calibri"/>
          <w:sz w:val="21"/>
          <w:szCs w:val="21"/>
        </w:rPr>
        <w:t xml:space="preserve">Samiksha Chimote</w:t>
      </w:r>
    </w:p>
    <w:p>
      <w:pPr>
        <w:spacing w:after="60" w:line="276"/>
      </w:pPr>
      <w:r>
        <w:rPr>
          <w:rFonts w:ascii="Calibri" w:cs="Calibri" w:eastAsia="Calibri" w:hAnsi="Calibri"/>
          <w:b/>
          <w:bCs/>
          <w:sz w:val="21"/>
          <w:szCs w:val="21"/>
        </w:rPr>
        <w:t xml:space="preserve">Track: </w:t>
      </w:r>
      <w:r>
        <w:rPr>
          <w:rFonts w:ascii="Calibri" w:cs="Calibri" w:eastAsia="Calibri" w:hAnsi="Calibri"/>
          <w:sz w:val="21"/>
          <w:szCs w:val="21"/>
        </w:rPr>
        <w:t xml:space="preserve">GRC / Other</w:t>
      </w:r>
    </w:p>
    <w:p>
      <w:pPr>
        <w:spacing w:after="60" w:line="276"/>
      </w:pPr>
      <w:r>
        <w:rPr>
          <w:rFonts w:ascii="Calibri" w:cs="Calibri" w:eastAsia="Calibri" w:hAnsi="Calibri"/>
          <w:b/>
          <w:bCs/>
          <w:sz w:val="21"/>
          <w:szCs w:val="21"/>
        </w:rPr>
        <w:t xml:space="preserve">Date: </w:t>
      </w:r>
      <w:r>
        <w:rPr>
          <w:rFonts w:ascii="Calibri" w:cs="Calibri" w:eastAsia="Calibri" w:hAnsi="Calibri"/>
          <w:sz w:val="21"/>
          <w:szCs w:val="21"/>
        </w:rPr>
        <w:t xml:space="preserve">30 September 2026</w:t>
      </w:r>
    </w:p>
    <w:p>
      <w:pPr>
        <w:spacing w:after="60" w:line="276"/>
      </w:pPr>
      <w:r>
        <w:rPr>
          <w:rFonts w:ascii="Calibri" w:cs="Calibri" w:eastAsia="Calibri" w:hAnsi="Calibri"/>
          <w:b/>
          <w:bCs/>
          <w:sz w:val="21"/>
          <w:szCs w:val="21"/>
        </w:rPr>
        <w:t xml:space="preserve">Version: </w:t>
      </w:r>
      <w:r>
        <w:rPr>
          <w:rFonts w:ascii="Calibri" w:cs="Calibri" w:eastAsia="Calibri" w:hAnsi="Calibri"/>
          <w:sz w:val="21"/>
          <w:szCs w:val="21"/>
        </w:rPr>
        <w:t xml:space="preserve">1.0</w:t>
      </w:r>
    </w:p>
    <w:p>
      <w:pPr>
        <w:spacing w:after="240" w:line="276"/>
      </w:pPr>
      <w:r>
        <w:rPr>
          <w:rFonts w:ascii="Calibri" w:cs="Calibri" w:eastAsia="Calibri" w:hAnsi="Calibri"/>
          <w:b/>
          <w:bCs/>
          <w:sz w:val="21"/>
          <w:szCs w:val="21"/>
        </w:rPr>
        <w:t xml:space="preserve">Framework: </w:t>
      </w:r>
      <w:r>
        <w:rPr>
          <w:rFonts w:ascii="Calibri" w:cs="Calibri" w:eastAsia="Calibri" w:hAnsi="Calibri"/>
          <w:sz w:val="21"/>
          <w:szCs w:val="21"/>
        </w:rPr>
        <w:t xml:space="preserve">NIST SP 800-37 Rev. 2 (RMF), FIPS 199, NIST SP 800-53 Rev. 5, SP 800-53A, SP 800-30</w:t>
      </w:r>
    </w:p>
    <w:p>
      <w:pPr>
        <w:spacing w:after="0" w:line="276"/>
      </w:pPr>
      <w:r>
        <w:rPr>
          <w:rFonts w:ascii="Calibri" w:cs="Calibri" w:eastAsia="Calibri" w:hAnsi="Calibri"/>
          <w:b/>
          <w:bCs/>
          <w:sz w:val="21"/>
          <w:szCs w:val="21"/>
        </w:rPr>
        <w:t xml:space="preserve">Note: </w:t>
      </w:r>
      <w:r>
        <w:rPr>
          <w:rFonts w:ascii="Calibri" w:cs="Calibri" w:eastAsia="Calibri" w:hAnsi="Calibri"/>
          <w:i/>
          <w:iCs/>
          <w:sz w:val="21"/>
          <w:szCs w:val="21"/>
        </w:rPr>
        <w:t xml:space="preserve">MediConnect is a fictional system created for this exercise. All evidence, test results, names and dates are simulated for demonstration.</w:t>
      </w:r>
    </w:p>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sz w:val="21"/>
          <w:szCs w:val="21"/>
        </w:rPr>
        <w:t xml:space="preserve">This report applies the NIST Risk Management Framework to MediConnect, a fictional cloud-hosted patient portal that lets patients book appointments, view lab results and request prescription refills. It walks through the five required steps: categorize, select controls, assess, authorize and monitor.</w:t>
      </w:r>
    </w:p>
    <w:p>
      <w:pPr>
        <w:spacing w:after="60" w:line="276"/>
      </w:pPr>
      <w:r>
        <w:rPr>
          <w:rFonts w:ascii="Calibri" w:cs="Calibri" w:eastAsia="Calibri" w:hAnsi="Calibri"/>
          <w:b/>
          <w:bCs/>
          <w:sz w:val="21"/>
          <w:szCs w:val="21"/>
        </w:rPr>
        <w:t xml:space="preserve">Key results</w:t>
      </w:r>
    </w:p>
    <w:p>
      <w:pPr>
        <w:pStyle w:val="ListParagraph"/>
        <w:numPr>
          <w:ilvl w:val="0"/>
          <w:numId w:val="2"/>
        </w:numPr>
        <w:spacing w:after="60"/>
      </w:pPr>
      <w:r>
        <w:rPr>
          <w:rFonts w:ascii="Calibri" w:cs="Calibri" w:eastAsia="Calibri" w:hAnsi="Calibri"/>
          <w:b/>
          <w:bCs/>
          <w:sz w:val="21"/>
          <w:szCs w:val="21"/>
        </w:rPr>
        <w:t xml:space="preserve">Categorization: </w:t>
      </w:r>
      <w:r>
        <w:rPr>
          <w:rFonts w:ascii="Calibri" w:cs="Calibri" w:eastAsia="Calibri" w:hAnsi="Calibri"/>
          <w:sz w:val="21"/>
          <w:szCs w:val="21"/>
        </w:rPr>
        <w:t xml:space="preserve">Moderate overall (Confidentiality, Integrity and Availability all Moderate), using the high-water mark method from FIPS 199.</w:t>
      </w:r>
    </w:p>
    <w:p>
      <w:pPr>
        <w:pStyle w:val="ListParagraph"/>
        <w:numPr>
          <w:ilvl w:val="0"/>
          <w:numId w:val="2"/>
        </w:numPr>
        <w:spacing w:after="60"/>
      </w:pPr>
      <w:r>
        <w:rPr>
          <w:rFonts w:ascii="Calibri" w:cs="Calibri" w:eastAsia="Calibri" w:hAnsi="Calibri"/>
          <w:b/>
          <w:bCs/>
          <w:sz w:val="21"/>
          <w:szCs w:val="21"/>
        </w:rPr>
        <w:t xml:space="preserve">Control selection: </w:t>
      </w:r>
      <w:r>
        <w:rPr>
          <w:rFonts w:ascii="Calibri" w:cs="Calibri" w:eastAsia="Calibri" w:hAnsi="Calibri"/>
          <w:sz w:val="21"/>
          <w:szCs w:val="21"/>
        </w:rPr>
        <w:t xml:space="preserve">The NIST SP 800-53 Rev. 5 Moderate baseline was selected and tailored. Twenty representative controls were mapped and assessed.</w:t>
      </w:r>
    </w:p>
    <w:p>
      <w:pPr>
        <w:pStyle w:val="ListParagraph"/>
        <w:numPr>
          <w:ilvl w:val="0"/>
          <w:numId w:val="2"/>
        </w:numPr>
        <w:spacing w:after="60"/>
      </w:pPr>
      <w:r>
        <w:rPr>
          <w:rFonts w:ascii="Calibri" w:cs="Calibri" w:eastAsia="Calibri" w:hAnsi="Calibri"/>
          <w:b/>
          <w:bCs/>
          <w:sz w:val="21"/>
          <w:szCs w:val="21"/>
        </w:rPr>
        <w:t xml:space="preserve">Assessment: </w:t>
      </w:r>
      <w:r>
        <w:rPr>
          <w:rFonts w:ascii="Calibri" w:cs="Calibri" w:eastAsia="Calibri" w:hAnsi="Calibri"/>
          <w:sz w:val="21"/>
          <w:szCs w:val="21"/>
        </w:rPr>
        <w:t xml:space="preserve">14 controls were Satisfied and 6 were Other Than Satisfied, producing six findings (1 High, 4 Moderate, 1 Low).</w:t>
      </w:r>
    </w:p>
    <w:p>
      <w:pPr>
        <w:pStyle w:val="ListParagraph"/>
        <w:numPr>
          <w:ilvl w:val="0"/>
          <w:numId w:val="2"/>
        </w:numPr>
        <w:spacing w:after="60"/>
      </w:pPr>
      <w:r>
        <w:rPr>
          <w:rFonts w:ascii="Calibri" w:cs="Calibri" w:eastAsia="Calibri" w:hAnsi="Calibri"/>
          <w:b/>
          <w:bCs/>
          <w:sz w:val="21"/>
          <w:szCs w:val="21"/>
        </w:rPr>
        <w:t xml:space="preserve">Risk: </w:t>
      </w:r>
      <w:r>
        <w:rPr>
          <w:rFonts w:ascii="Calibri" w:cs="Calibri" w:eastAsia="Calibri" w:hAnsi="Calibri"/>
          <w:sz w:val="21"/>
          <w:szCs w:val="21"/>
        </w:rPr>
        <w:t xml:space="preserve">Six risks were rated. Current residual risk is 1 High, 4 Moderate and 1 Low. Once the remediation plan is complete, the target residual risk is 1 Moderate and 5 Low.</w:t>
      </w:r>
    </w:p>
    <w:p>
      <w:pPr>
        <w:pStyle w:val="ListParagraph"/>
        <w:numPr>
          <w:ilvl w:val="0"/>
          <w:numId w:val="2"/>
        </w:numPr>
        <w:spacing w:after="60"/>
      </w:pPr>
      <w:r>
        <w:rPr>
          <w:rFonts w:ascii="Calibri" w:cs="Calibri" w:eastAsia="Calibri" w:hAnsi="Calibri"/>
          <w:b/>
          <w:bCs/>
          <w:sz w:val="21"/>
          <w:szCs w:val="21"/>
        </w:rPr>
        <w:t xml:space="preserve">Authorization recommendation: </w:t>
      </w:r>
      <w:r>
        <w:rPr>
          <w:rFonts w:ascii="Calibri" w:cs="Calibri" w:eastAsia="Calibri" w:hAnsi="Calibri"/>
          <w:sz w:val="21"/>
          <w:szCs w:val="21"/>
        </w:rPr>
        <w:t xml:space="preserve">Conditional Authorization to Operate (ATO) for 12 months. The High-rated patching weakness must be closed within 60 days.</w:t>
      </w:r>
    </w:p>
    <w:p>
      <w:pPr>
        <w:spacing w:after="100" w:line="276"/>
      </w:pPr>
      <w:r>
        <w:rPr>
          <w:rFonts w:ascii="Calibri" w:cs="Calibri" w:eastAsia="Calibri" w:hAnsi="Calibri"/>
          <w:sz w:val="21"/>
          <w:szCs w:val="21"/>
        </w:rPr>
        <w:t xml:space="preserve"/>
      </w:r>
    </w:p>
    <w:p>
      <w:pPr>
        <w:pStyle w:val="Heading1"/>
      </w:pPr>
      <w:r>
        <w:rPr>
          <w:rFonts w:ascii="Calibri" w:cs="Calibri" w:eastAsia="Calibri" w:hAnsi="Calibri"/>
        </w:rPr>
        <w:t xml:space="preserve">2. Scope and Methodology</w:t>
      </w:r>
    </w:p>
    <w:p>
      <w:pPr>
        <w:pStyle w:val="Heading2"/>
      </w:pPr>
      <w:r>
        <w:rPr>
          <w:rFonts w:ascii="Calibri" w:cs="Calibri" w:eastAsia="Calibri" w:hAnsi="Calibri"/>
        </w:rPr>
        <w:t xml:space="preserve">2.1 System description</w:t>
      </w:r>
    </w:p>
    <w:p>
      <w:pPr>
        <w:spacing w:after="120" w:line="276"/>
      </w:pPr>
      <w:r>
        <w:rPr>
          <w:rFonts w:ascii="Calibri" w:cs="Calibri" w:eastAsia="Calibri" w:hAnsi="Calibri"/>
          <w:sz w:val="21"/>
          <w:szCs w:val="21"/>
        </w:rPr>
        <w:t xml:space="preserve">MediConnect is a three-tier web application hosted in a commercial cloud (IaaS) environment. Patients sign in through a web browser or mobile app. Staff use an internal admin console reached over a VPN.</w:t>
      </w:r>
    </w:p>
    <w:p>
      <w:pPr>
        <w:pStyle w:val="ListParagraph"/>
        <w:numPr>
          <w:ilvl w:val="0"/>
          <w:numId w:val="2"/>
        </w:numPr>
        <w:spacing w:after="60"/>
      </w:pPr>
      <w:r>
        <w:rPr>
          <w:rFonts w:ascii="Calibri" w:cs="Calibri" w:eastAsia="Calibri" w:hAnsi="Calibri"/>
          <w:b/>
          <w:bCs/>
          <w:sz w:val="21"/>
          <w:szCs w:val="21"/>
        </w:rPr>
        <w:t xml:space="preserve">Components: </w:t>
      </w:r>
      <w:r>
        <w:rPr>
          <w:rFonts w:ascii="Calibri" w:cs="Calibri" w:eastAsia="Calibri" w:hAnsi="Calibri"/>
          <w:sz w:val="21"/>
          <w:szCs w:val="21"/>
        </w:rPr>
        <w:t xml:space="preserve">Web application firewall (WAF), two application servers, a managed relational database, an object store for lab-result PDFs, an identity provider (IdP), and a SIEM for log collection.</w:t>
      </w:r>
    </w:p>
    <w:p>
      <w:pPr>
        <w:pStyle w:val="ListParagraph"/>
        <w:numPr>
          <w:ilvl w:val="0"/>
          <w:numId w:val="2"/>
        </w:numPr>
        <w:spacing w:after="60"/>
      </w:pPr>
      <w:r>
        <w:rPr>
          <w:rFonts w:ascii="Calibri" w:cs="Calibri" w:eastAsia="Calibri" w:hAnsi="Calibri"/>
          <w:b/>
          <w:bCs/>
          <w:sz w:val="21"/>
          <w:szCs w:val="21"/>
        </w:rPr>
        <w:t xml:space="preserve">Data: </w:t>
      </w:r>
      <w:r>
        <w:rPr>
          <w:rFonts w:ascii="Calibri" w:cs="Calibri" w:eastAsia="Calibri" w:hAnsi="Calibri"/>
          <w:sz w:val="21"/>
          <w:szCs w:val="21"/>
        </w:rPr>
        <w:t xml:space="preserve">Patient profile data, appointment records, lab results and prescription requests (protected health information).</w:t>
      </w:r>
    </w:p>
    <w:p>
      <w:pPr>
        <w:pStyle w:val="ListParagraph"/>
        <w:numPr>
          <w:ilvl w:val="0"/>
          <w:numId w:val="2"/>
        </w:numPr>
        <w:spacing w:after="60"/>
      </w:pPr>
      <w:r>
        <w:rPr>
          <w:rFonts w:ascii="Calibri" w:cs="Calibri" w:eastAsia="Calibri" w:hAnsi="Calibri"/>
          <w:b/>
          <w:bCs/>
          <w:sz w:val="21"/>
          <w:szCs w:val="21"/>
        </w:rPr>
        <w:t xml:space="preserve">Users: </w:t>
      </w:r>
      <w:r>
        <w:rPr>
          <w:rFonts w:ascii="Calibri" w:cs="Calibri" w:eastAsia="Calibri" w:hAnsi="Calibri"/>
          <w:sz w:val="21"/>
          <w:szCs w:val="21"/>
        </w:rPr>
        <w:t xml:space="preserve">Around 40,000 registered patients, 120 clinical staff and 8 system administrators.</w:t>
      </w:r>
    </w:p>
    <w:p>
      <w:pPr>
        <w:pStyle w:val="ListParagraph"/>
        <w:numPr>
          <w:ilvl w:val="0"/>
          <w:numId w:val="2"/>
        </w:numPr>
        <w:spacing w:after="60"/>
      </w:pPr>
      <w:r>
        <w:rPr>
          <w:rFonts w:ascii="Calibri" w:cs="Calibri" w:eastAsia="Calibri" w:hAnsi="Calibri"/>
          <w:b/>
          <w:bCs/>
          <w:sz w:val="21"/>
          <w:szCs w:val="21"/>
        </w:rPr>
        <w:t xml:space="preserve">Boundary: </w:t>
      </w:r>
      <w:r>
        <w:rPr>
          <w:rFonts w:ascii="Calibri" w:cs="Calibri" w:eastAsia="Calibri" w:hAnsi="Calibri"/>
          <w:sz w:val="21"/>
          <w:szCs w:val="21"/>
        </w:rPr>
        <w:t xml:space="preserve">Everything in the production cloud account. Physical and environmental controls are inherited from the cloud provider. The patient's own device is out of scope.</w:t>
      </w:r>
    </w:p>
    <w:p>
      <w:pPr>
        <w:pStyle w:val="Heading2"/>
      </w:pPr>
      <w:r>
        <w:rPr>
          <w:rFonts w:ascii="Calibri" w:cs="Calibri" w:eastAsia="Calibri" w:hAnsi="Calibri"/>
        </w:rPr>
        <w:t xml:space="preserve">2.2 Approach</w:t>
      </w:r>
    </w:p>
    <w:p>
      <w:pPr>
        <w:spacing w:after="120" w:line="276"/>
      </w:pPr>
      <w:r>
        <w:rPr>
          <w:rFonts w:ascii="Calibri" w:cs="Calibri" w:eastAsia="Calibri" w:hAnsi="Calibri"/>
          <w:sz w:val="21"/>
          <w:szCs w:val="21"/>
        </w:rPr>
        <w:t xml:space="preserve">The work follows NIST SP 800-37 Rev. 2. The Prepare step (roles, risk tolerance, system boundary) is summarized in Section 2.1, and Implement is represented by the control descriptions in Section 4. Assessment procedures follow SP 800-53A (examine, interview, test). Risks are scored with a qualitative 3×3 method based on SP 800-30.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RMF step</w:t>
            </w:r>
          </w:p>
        </w:tc>
        <w:tc>
          <w:tcPr>
            <w:tcW w:type="dxa" w:w="7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Output in this report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1. Categorize</w:t>
            </w:r>
          </w:p>
        </w:tc>
        <w:tc>
          <w:tcPr>
            <w:tcW w:type="dxa" w:w="7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Information types and FIPS 199 impact levels (Section 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2. Select</w:t>
            </w:r>
          </w:p>
        </w:tc>
        <w:tc>
          <w:tcPr>
            <w:tcW w:type="dxa" w:w="7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Baseline, tailoring decisions and control mapping (Section 4)</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3. Assess</w:t>
            </w:r>
          </w:p>
        </w:tc>
        <w:tc>
          <w:tcPr>
            <w:tcW w:type="dxa" w:w="7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Assessment results and findings (Section 5), risk register with residual ratings (Section 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4. Authorize</w:t>
            </w:r>
          </w:p>
        </w:tc>
        <w:tc>
          <w:tcPr>
            <w:tcW w:type="dxa" w:w="7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Authorization decision memo and POA&amp;M (Section 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5. Monitor</w:t>
            </w:r>
          </w:p>
        </w:tc>
        <w:tc>
          <w:tcPr>
            <w:tcW w:type="dxa" w:w="7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Continuous monitoring plan and reauthorization triggers (Section 8)</w:t>
            </w:r>
          </w:p>
        </w:tc>
      </w:tr>
    </w:tbl>
    <w:p>
      <w:pPr>
        <w:spacing w:after="100" w:line="276"/>
      </w:pPr>
      <w:r>
        <w:rPr>
          <w:rFonts w:ascii="Calibri" w:cs="Calibri" w:eastAsia="Calibri" w:hAnsi="Calibri"/>
          <w:sz w:val="21"/>
          <w:szCs w:val="21"/>
        </w:rPr>
        <w:t xml:space="preserve"/>
      </w:r>
    </w:p>
    <w:p>
      <w:pPr>
        <w:pStyle w:val="Heading1"/>
      </w:pPr>
      <w:r>
        <w:rPr>
          <w:rFonts w:ascii="Calibri" w:cs="Calibri" w:eastAsia="Calibri" w:hAnsi="Calibri"/>
        </w:rPr>
        <w:t xml:space="preserve">3. Step 1: Categorize</w:t>
      </w:r>
    </w:p>
    <w:p>
      <w:pPr>
        <w:spacing w:after="120" w:line="276"/>
      </w:pPr>
      <w:r>
        <w:rPr>
          <w:rFonts w:ascii="Calibri" w:cs="Calibri" w:eastAsia="Calibri" w:hAnsi="Calibri"/>
          <w:sz w:val="21"/>
          <w:szCs w:val="21"/>
        </w:rPr>
        <w:t xml:space="preserve">Information types were identified with reference to NIST SP 800-60 and rated for the impact of a loss of confidentiality (C), integrity (I) or availability (A). Impact levels follow FIPS 199: Low, Moderate or 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47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Information type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A</w:t>
            </w:r>
          </w:p>
        </w:tc>
        <w:tc>
          <w:tcPr>
            <w:tcW w:type="dxa" w:w="4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Rationale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Patient health records and lab results</w:t>
            </w:r>
          </w:p>
        </w:tc>
        <w:tc>
          <w:tcPr>
            <w:tcW w:type="dxa" w:w="9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9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9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Low</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Disclosure would seriously harm patients and trigger breach obligations. Altered results could affect care. A short outage delays access but does not endanger care.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Authentication data (credentials, tokens, sessions)</w:t>
            </w:r>
          </w:p>
        </w:tc>
        <w:tc>
          <w:tcPr>
            <w:tcW w:type="dxa" w:w="9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9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9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Compromise enables account takeover. Loss of the IdP blocks all sign-ins.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Appointment scheduling data</w:t>
            </w:r>
          </w:p>
        </w:tc>
        <w:tc>
          <w:tcPr>
            <w:tcW w:type="dxa" w:w="9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Low</w:t>
            </w:r>
          </w:p>
        </w:tc>
        <w:tc>
          <w:tcPr>
            <w:tcW w:type="dxa" w:w="9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Low</w:t>
            </w:r>
          </w:p>
        </w:tc>
        <w:tc>
          <w:tcPr>
            <w:tcW w:type="dxa" w:w="9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Low</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Limited sensitivity. Staff can fall back to phone scheduling.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Audit logs</w:t>
            </w:r>
          </w:p>
        </w:tc>
        <w:tc>
          <w:tcPr>
            <w:tcW w:type="dxa" w:w="9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Low</w:t>
            </w:r>
          </w:p>
        </w:tc>
        <w:tc>
          <w:tcPr>
            <w:tcW w:type="dxa" w:w="9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9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Low</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Needs tamper protection so that investigations can be trusted.</w:t>
            </w:r>
          </w:p>
        </w:tc>
      </w:tr>
    </w:tbl>
    <w:p>
      <w:pPr>
        <w:spacing w:after="10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System categorization (high-water mark): </w:t>
      </w:r>
      <w:r>
        <w:rPr>
          <w:rFonts w:ascii="Calibri" w:cs="Calibri" w:eastAsia="Calibri" w:hAnsi="Calibri"/>
          <w:sz w:val="21"/>
          <w:szCs w:val="21"/>
        </w:rPr>
        <w:t xml:space="preserve">SC MediConnect = {(C, Moderate), (I, Moderate), (A, Moderate)}. The overall impact level is Moderate.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2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Security objective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Impact</w:t>
            </w:r>
          </w:p>
        </w:tc>
        <w:tc>
          <w:tcPr>
            <w:tcW w:type="dxa" w:w="6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Justification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Confidentiality</w:t>
            </w:r>
          </w:p>
        </w:tc>
        <w:tc>
          <w:tcPr>
            <w:tcW w:type="dxa" w:w="14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6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Highest value across information types is Moderate, driven by PHI and authentication data.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Integrity</w:t>
            </w:r>
          </w:p>
        </w:tc>
        <w:tc>
          <w:tcPr>
            <w:tcW w:type="dxa" w:w="14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6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Result and prescription-request accuracy has patient-safety implications.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Availability</w:t>
            </w:r>
          </w:p>
        </w:tc>
        <w:tc>
          <w:tcPr>
            <w:tcW w:type="dxa" w:w="14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Moderate</w:t>
            </w:r>
          </w:p>
        </w:tc>
        <w:tc>
          <w:tcPr>
            <w:tcW w:type="dxa" w:w="6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Authentication data is rated Moderate for availability, so the high-water mark makes system availability Moderate even though patient records alone are Low.</w:t>
            </w:r>
          </w:p>
        </w:tc>
      </w:tr>
    </w:tbl>
    <w:p>
      <w:pPr>
        <w:spacing w:after="100" w:line="276"/>
      </w:pPr>
      <w:r>
        <w:rPr>
          <w:rFonts w:ascii="Calibri" w:cs="Calibri" w:eastAsia="Calibri" w:hAnsi="Calibri"/>
          <w:sz w:val="21"/>
          <w:szCs w:val="21"/>
        </w:rPr>
        <w:t xml:space="preserve"/>
      </w:r>
    </w:p>
    <w:p>
      <w:pPr>
        <w:pStyle w:val="Heading1"/>
      </w:pPr>
      <w:r>
        <w:rPr>
          <w:rFonts w:ascii="Calibri" w:cs="Calibri" w:eastAsia="Calibri" w:hAnsi="Calibri"/>
        </w:rPr>
        <w:t xml:space="preserve">4. Step 2: Select Controls</w:t>
      </w:r>
    </w:p>
    <w:p>
      <w:pPr>
        <w:spacing w:after="120" w:line="276"/>
      </w:pPr>
      <w:r>
        <w:rPr>
          <w:rFonts w:ascii="Calibri" w:cs="Calibri" w:eastAsia="Calibri" w:hAnsi="Calibri"/>
          <w:sz w:val="21"/>
          <w:szCs w:val="21"/>
        </w:rPr>
        <w:t xml:space="preserve">Because the system is categorized Moderate, the NIST SP 800-53 Rev. 5 Moderate baseline was selected as the starting point. The baseline was then tailored to fit the system.</w:t>
      </w:r>
    </w:p>
    <w:p>
      <w:pPr>
        <w:pStyle w:val="Heading2"/>
      </w:pPr>
      <w:r>
        <w:rPr>
          <w:rFonts w:ascii="Calibri" w:cs="Calibri" w:eastAsia="Calibri" w:hAnsi="Calibri"/>
        </w:rPr>
        <w:t xml:space="preserve">4.1 Tailoring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Tailoring action</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Application</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Rationale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Scoping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Physical and environmental (PE) controls not applied directly.</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 on-premises facility. Inherited from the cloud provider.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Common / inherited controls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 family, parts of MP and CP-6 (alternate site) inherited from the provider and reviewed annually via the provider's attestation.</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Avoids duplicate effort while keeping a documented responsibility split.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Parameterization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Password minimum 14 characters. Session timeout 15 minutes. Critical patches within 15 days, high within 30 days. Log review weekly.</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Values reflect the organization's risk tolerance for PHI.</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Supplementation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Enhanced database activity monitoring added under AU-2 and SI-4.</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PHI sensitivity and insider-threat concerns justify more than the baseline.</w:t>
            </w:r>
          </w:p>
        </w:tc>
      </w:tr>
    </w:tbl>
    <w:p>
      <w:pPr>
        <w:spacing w:after="100" w:line="276"/>
      </w:pPr>
      <w:r>
        <w:rPr>
          <w:rFonts w:ascii="Calibri" w:cs="Calibri" w:eastAsia="Calibri" w:hAnsi="Calibri"/>
          <w:sz w:val="21"/>
          <w:szCs w:val="21"/>
        </w:rPr>
        <w:t xml:space="preserve"/>
      </w:r>
    </w:p>
    <w:p>
      <w:pPr>
        <w:pStyle w:val="Heading2"/>
      </w:pPr>
      <w:r>
        <w:rPr>
          <w:rFonts w:ascii="Calibri" w:cs="Calibri" w:eastAsia="Calibri" w:hAnsi="Calibri"/>
        </w:rPr>
        <w:t xml:space="preserve">4.2 Control mapping</w:t>
      </w:r>
    </w:p>
    <w:p>
      <w:pPr>
        <w:spacing w:after="120" w:line="276"/>
      </w:pPr>
      <w:r>
        <w:rPr>
          <w:rFonts w:ascii="Calibri" w:cs="Calibri" w:eastAsia="Calibri" w:hAnsi="Calibri"/>
          <w:sz w:val="21"/>
          <w:szCs w:val="21"/>
        </w:rPr>
        <w:t xml:space="preserve">The table maps 20 representative controls to how MediConnect implements them and the result of assessment (Section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238"/>
        <w:gridCol w:w="17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Control</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Title</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Implementation and evidence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Result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Account Management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Accounts provisioned through IdP with manager approval. Quarterly access reviews required by policy but not performed for admin accounts; 3 orphaned accounts found.</w:t>
            </w:r>
          </w:p>
        </w:tc>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Other than satisfied (F-04)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Access Enforcement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Role-based access control in the application and database. Test users could not access data outside their role.</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Least Privilege</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Separate admin and standard roles. Database admin rights limited to 3 named engineers.</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AC-17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Remote Access</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Admin access only via VPN with MFA. Configuration reviewed.</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AT-2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Literacy Training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Annual security and privacy training. 96% completion.</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Event Logging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Authentication, data access and admin actions logged, including database activity.</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Audit Record Review</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Logs sent to SIEM with alert rules, but no scheduled human review. Reviews are ad hoc.</w:t>
            </w:r>
          </w:p>
        </w:tc>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Other than satisfied (F-02)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Continuous Monitoring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Monitoring strategy defined and documented (Section 8).</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CM-2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Baseline Configuration</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Hardened server images kept under version control.</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CM-6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Configuration Settings</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Automated compliance scan shows 2 of 10 servers deviating from the baseline (weak TLS cipher, unused service enabled).</w:t>
            </w:r>
          </w:p>
        </w:tc>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Other than satisfied (F-06)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CP-9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System Backup</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Daily encrypted database backups and versioned object storage. Restore has never been tested.</w:t>
            </w:r>
          </w:p>
        </w:tc>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Other than satisfied (F-03)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IA-2(1),(2)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Multi-Factor Authentication</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MFA enforced for staff and admins. MFA is optional for patient accounts (22% enrolled).</w:t>
            </w:r>
          </w:p>
        </w:tc>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Other than satisfied (F-05)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IA-5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Authenticator Management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Password policy enforced, lockout after 5 failures, breached-password check at set time.</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IR-4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Incident Handling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Incident response plan with defined roles. Tabletop exercise completed in the last 6 months.</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RA-5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Vulnerability Monitoring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Weekly authenticated scans of servers and monthly web application scans.</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SC-7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Boundary Protection</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WAF in front of the application. Network segmentation between web, app and database tiers.</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SC-8</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Transmission Confidentiality</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TLS 1.2 or higher enforced externally and internally.</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SC-28</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Protection at Rest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AES-256 encryption for database, object store and backups, with managed keys.</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SI-2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Flaw Remediation</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Critical patches on internet-facing servers took 38 days on average against the 15-day requirement (sample of 6 patches).</w:t>
            </w:r>
          </w:p>
        </w:tc>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Other than satisfied (F-01)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SI-4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System Monitoring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SIEM correlation rules and intrusion detection alerts reviewed by the on-call analyst.</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Satisfied</w:t>
            </w:r>
          </w:p>
        </w:tc>
      </w:tr>
    </w:tbl>
    <w:p>
      <w:pPr>
        <w:spacing w:after="100" w:line="276"/>
      </w:pPr>
      <w:r>
        <w:rPr>
          <w:rFonts w:ascii="Calibri" w:cs="Calibri" w:eastAsia="Calibri" w:hAnsi="Calibri"/>
          <w:sz w:val="21"/>
          <w:szCs w:val="21"/>
        </w:rPr>
        <w:t xml:space="preserve"/>
      </w:r>
    </w:p>
    <w:p>
      <w:pPr>
        <w:pStyle w:val="Heading1"/>
      </w:pPr>
      <w:r>
        <w:rPr>
          <w:rFonts w:ascii="Calibri" w:cs="Calibri" w:eastAsia="Calibri" w:hAnsi="Calibri"/>
        </w:rPr>
        <w:t xml:space="preserve">5. Step 3: Assess Controls</w:t>
      </w:r>
    </w:p>
    <w:p>
      <w:pPr>
        <w:spacing w:after="120" w:line="276"/>
      </w:pPr>
      <w:r>
        <w:rPr>
          <w:rFonts w:ascii="Calibri" w:cs="Calibri" w:eastAsia="Calibri" w:hAnsi="Calibri"/>
          <w:sz w:val="21"/>
          <w:szCs w:val="21"/>
        </w:rPr>
        <w:t xml:space="preserve">Each control was assessed using the three SP 800-53A methods. Documents such as policies and configurations were examined. System owners and administrators were interviewed. Controls were tested by sampling patch records, running configuration scans, and attempting access as different roles.</w:t>
      </w:r>
    </w:p>
    <w:p>
      <w:pPr>
        <w:spacing w:after="120" w:line="276"/>
      </w:pPr>
      <w:r>
        <w:rPr>
          <w:rFonts w:ascii="Calibri" w:cs="Calibri" w:eastAsia="Calibri" w:hAnsi="Calibri"/>
          <w:b/>
          <w:bCs/>
          <w:sz w:val="21"/>
          <w:szCs w:val="21"/>
        </w:rPr>
        <w:t xml:space="preserve">Result: </w:t>
      </w:r>
      <w:r>
        <w:rPr>
          <w:rFonts w:ascii="Calibri" w:cs="Calibri" w:eastAsia="Calibri" w:hAnsi="Calibri"/>
          <w:sz w:val="21"/>
          <w:szCs w:val="21"/>
        </w:rPr>
        <w:t xml:space="preserve">20 controls assessed. 14 Satisfied and 6 Other Than Satisfied, giving six findings. A finding severity reflects the weakness itself. Risk is rated separately in Section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438"/>
        <w:gridCol w:w="1200"/>
        <w:gridCol w:w="2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Control</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Finding</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Severity</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Method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SI-2</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Critical patches on internet-facing servers not applied within the 15-day requirement (38-day average).</w:t>
            </w:r>
          </w:p>
        </w:tc>
        <w:tc>
          <w:tcPr>
            <w:tcW w:type="dxa" w:w="12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8"/>
                <w:szCs w:val="18"/>
              </w:rPr>
              <w:t xml:space="preserve">High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Examine patch records; test scan results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AU-6</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No scheduled log review process. Alerts are handled but log patterns are not reviewed.</w:t>
            </w:r>
          </w:p>
        </w:tc>
        <w:tc>
          <w:tcPr>
            <w:tcW w:type="dxa" w:w="12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Examine procedures; interview SOC lead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CP-9</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Backup restore has never been tested, so recovery time and data integrity are unverified.</w:t>
            </w:r>
          </w:p>
        </w:tc>
        <w:tc>
          <w:tcPr>
            <w:tcW w:type="dxa" w:w="12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Examine backup jobs; interview DBA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AC-2</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Admin access reviews not performed. Three accounts belonging to former staff remain active.</w:t>
            </w:r>
          </w:p>
        </w:tc>
        <w:tc>
          <w:tcPr>
            <w:tcW w:type="dxa" w:w="12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Examine account list; test HR leaver report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IA-2(2)</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MFA optional for patient accounts, leaving them exposed to credential stuffing.</w:t>
            </w:r>
          </w:p>
        </w:tc>
        <w:tc>
          <w:tcPr>
            <w:tcW w:type="dxa" w:w="12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Examine IdP config; test sign-in flow</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CM-6</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Two of ten servers deviate from the hardened baseline.</w:t>
            </w:r>
          </w:p>
        </w:tc>
        <w:tc>
          <w:tcPr>
            <w:tcW w:type="dxa" w:w="12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Test automated compliance scan</w:t>
            </w:r>
          </w:p>
        </w:tc>
      </w:tr>
    </w:tbl>
    <w:p>
      <w:pPr>
        <w:sectPr>
          <w:footerReference w:type="default" r:id="rId7"/>
          <w:pgSz w:w="11906" w:h="16838" w:orient="portrait"/>
          <w:pgMar w:top="1134" w:right="1134" w:bottom="1134" w:left="1134" w:header="708" w:footer="708" w:gutter="0"/>
          <w:pgNumType/>
          <w:docGrid w:linePitch="360"/>
        </w:sectPr>
      </w:pPr>
    </w:p>
    <w:p>
      <w:pPr>
        <w:pStyle w:val="Heading1"/>
      </w:pPr>
      <w:r>
        <w:rPr>
          <w:rFonts w:ascii="Calibri" w:cs="Calibri" w:eastAsia="Calibri" w:hAnsi="Calibri"/>
        </w:rPr>
        <w:t xml:space="preserve">6. Risk Assessment and Residual Risk Ratings</w:t>
      </w:r>
    </w:p>
    <w:p>
      <w:pPr>
        <w:spacing w:after="120" w:line="276"/>
      </w:pPr>
      <w:r>
        <w:rPr>
          <w:rFonts w:ascii="Calibri" w:cs="Calibri" w:eastAsia="Calibri" w:hAnsi="Calibri"/>
          <w:sz w:val="21"/>
          <w:szCs w:val="21"/>
        </w:rPr>
        <w:t xml:space="preserve">Risk is scored as likelihood × impact, each on a 1 to 3 scale (Low = 1, Moderate = 2, High = 3). A score of 1 to 2 is Low, 3 to 4 is Moderate and 6 to 9 is High.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6535"/>
        <w:gridCol w:w="6535"/>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Level</w:t>
            </w:r>
          </w:p>
        </w:tc>
        <w:tc>
          <w:tcPr>
            <w:tcW w:type="dxa" w:w="65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Likelihood definition</w:t>
            </w:r>
          </w:p>
        </w:tc>
        <w:tc>
          <w:tcPr>
            <w:tcW w:type="dxa" w:w="65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Impact definition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Low (1)</w:t>
            </w:r>
          </w:p>
        </w:tc>
        <w:tc>
          <w:tcPr>
            <w:tcW w:type="dxa" w:w="6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Threat is unlikely, or existing controls make exploitation very difficult.</w:t>
            </w:r>
          </w:p>
        </w:tc>
        <w:tc>
          <w:tcPr>
            <w:tcW w:type="dxa" w:w="6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Limited effect on a small number of records or a brief, tolerable disruption.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Moderate (2)</w:t>
            </w:r>
          </w:p>
        </w:tc>
        <w:tc>
          <w:tcPr>
            <w:tcW w:type="dxa" w:w="6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Threat is plausible and controls only partly reduce the chance.</w:t>
            </w:r>
          </w:p>
        </w:tc>
        <w:tc>
          <w:tcPr>
            <w:tcW w:type="dxa" w:w="6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Serious effect on patients or operations, such as one patient's PHI exposed or a multi-hour outage.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High (3)</w:t>
            </w:r>
          </w:p>
        </w:tc>
        <w:tc>
          <w:tcPr>
            <w:tcW w:type="dxa" w:w="6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Threat is likely within a year, or a known weakness is easy to exploit.</w:t>
            </w:r>
          </w:p>
        </w:tc>
        <w:tc>
          <w:tcPr>
            <w:tcW w:type="dxa" w:w="6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Severe or widespread harm, such as bulk PHI breach, regulatory action or a prolonged outage.</w:t>
            </w:r>
          </w:p>
        </w:tc>
      </w:tr>
    </w:tbl>
    <w:p>
      <w:pPr>
        <w:spacing w:after="100" w:line="276"/>
      </w:pPr>
      <w:r>
        <w:rPr>
          <w:rFonts w:ascii="Calibri" w:cs="Calibri" w:eastAsia="Calibri" w:hAnsi="Calibri"/>
          <w:sz w:val="21"/>
          <w:szCs w:val="21"/>
        </w:rP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00"/>
        <w:gridCol w:w="3690"/>
        <w:gridCol w:w="3690"/>
        <w:gridCol w:w="3690"/>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Likelihood \ Impact</w:t>
            </w:r>
          </w:p>
        </w:tc>
        <w:tc>
          <w:tcPr>
            <w:tcW w:type="dxa" w:w="369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Low (1)</w:t>
            </w:r>
          </w:p>
        </w:tc>
        <w:tc>
          <w:tcPr>
            <w:tcW w:type="dxa" w:w="369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Moderate (2)</w:t>
            </w:r>
          </w:p>
        </w:tc>
        <w:tc>
          <w:tcPr>
            <w:tcW w:type="dxa" w:w="369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High (3)</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High (3)</w:t>
            </w:r>
          </w:p>
        </w:tc>
        <w:tc>
          <w:tcPr>
            <w:tcW w:type="dxa" w:w="369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Moderate (3)</w:t>
            </w:r>
          </w:p>
        </w:tc>
        <w:tc>
          <w:tcPr>
            <w:tcW w:type="dxa" w:w="369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High (6)</w:t>
            </w:r>
          </w:p>
        </w:tc>
        <w:tc>
          <w:tcPr>
            <w:tcW w:type="dxa" w:w="369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High (9)</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Moderate (2)</w:t>
            </w:r>
          </w:p>
        </w:tc>
        <w:tc>
          <w:tcPr>
            <w:tcW w:type="dxa" w:w="369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Low (2)</w:t>
            </w:r>
          </w:p>
        </w:tc>
        <w:tc>
          <w:tcPr>
            <w:tcW w:type="dxa" w:w="369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Moderate (4)</w:t>
            </w:r>
          </w:p>
        </w:tc>
        <w:tc>
          <w:tcPr>
            <w:tcW w:type="dxa" w:w="369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High (6)</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Low (1)</w:t>
            </w:r>
          </w:p>
        </w:tc>
        <w:tc>
          <w:tcPr>
            <w:tcW w:type="dxa" w:w="369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Low (1)</w:t>
            </w:r>
          </w:p>
        </w:tc>
        <w:tc>
          <w:tcPr>
            <w:tcW w:type="dxa" w:w="369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Low (2)</w:t>
            </w:r>
          </w:p>
        </w:tc>
        <w:tc>
          <w:tcPr>
            <w:tcW w:type="dxa" w:w="369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Moderate (3)</w:t>
            </w:r>
          </w:p>
        </w:tc>
      </w:tr>
    </w:tbl>
    <w:p>
      <w:pPr>
        <w:spacing w:after="10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Terms. </w:t>
      </w:r>
      <w:r>
        <w:rPr>
          <w:rFonts w:ascii="Calibri" w:cs="Calibri" w:eastAsia="Calibri" w:hAnsi="Calibri"/>
          <w:sz w:val="21"/>
          <w:szCs w:val="21"/>
        </w:rPr>
        <w:t xml:space="preserve">Inherent risk is the level with no controls in place. Residual risk (current) is what remains with the controls as assessed today. Target residual risk is expected once the POA&amp;M items are complete.</w:t>
      </w:r>
    </w:p>
    <w:p>
      <w:pPr>
        <w:pStyle w:val="Heading2"/>
      </w:pPr>
      <w:r>
        <w:rPr>
          <w:rFonts w:ascii="Calibri" w:cs="Calibri" w:eastAsia="Calibri" w:hAnsi="Calibri"/>
        </w:rPr>
        <w:t xml:space="preserve">Risk register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300"/>
        <w:gridCol w:w="1500"/>
        <w:gridCol w:w="1600"/>
        <w:gridCol w:w="1600"/>
        <w:gridCol w:w="397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Risk (threat and weakness)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Finding / control</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Inherent</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Residual (current)</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Target residual</w:t>
            </w:r>
          </w:p>
        </w:tc>
        <w:tc>
          <w:tcPr>
            <w:tcW w:type="dxa" w:w="39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Treatment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R-01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An external attacker exploits an unpatched vulnerability on an internet-facing server and reaches patient data.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F-01</w:t>
            </w:r>
          </w:p>
          <w:p>
            <w:pPr>
              <w:spacing w:after="0"/>
            </w:pPr>
            <w:r>
              <w:rPr>
                <w:rFonts w:ascii="Calibri" w:cs="Calibri" w:eastAsia="Calibri" w:hAnsi="Calibri"/>
                <w:sz w:val="17"/>
                <w:szCs w:val="17"/>
              </w:rPr>
              <w:t xml:space="preserve">SI-2</w:t>
            </w:r>
          </w:p>
        </w:tc>
        <w:tc>
          <w:tcPr>
            <w:tcW w:type="dxa" w:w="15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High (3×3=9)</w:t>
            </w:r>
          </w:p>
        </w:tc>
        <w:tc>
          <w:tcPr>
            <w:tcW w:type="dxa" w:w="16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High (2×3=6)</w:t>
            </w:r>
          </w:p>
        </w:tc>
        <w:tc>
          <w:tcPr>
            <w:tcW w:type="dxa" w:w="16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Moderate (1×3=3)</w:t>
            </w:r>
          </w:p>
        </w:tc>
        <w:tc>
          <w:tcPr>
            <w:tcW w:type="dxa" w:w="39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Mitigate: automated patching pipeline, 15-day critical SLA tracked on a dashboard, emergency change process.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R-02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Attackers take over patient accounts using stolen or reused passwords and view PHI.</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F-05</w:t>
            </w:r>
          </w:p>
          <w:p>
            <w:pPr>
              <w:spacing w:after="0"/>
            </w:pPr>
            <w:r>
              <w:rPr>
                <w:rFonts w:ascii="Calibri" w:cs="Calibri" w:eastAsia="Calibri" w:hAnsi="Calibri"/>
                <w:sz w:val="17"/>
                <w:szCs w:val="17"/>
              </w:rPr>
              <w:t xml:space="preserve">IA-2(2)</w:t>
            </w:r>
          </w:p>
        </w:tc>
        <w:tc>
          <w:tcPr>
            <w:tcW w:type="dxa" w:w="15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High (3×3=9)</w:t>
            </w:r>
          </w:p>
        </w:tc>
        <w:tc>
          <w:tcPr>
            <w:tcW w:type="dxa" w:w="16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Moderate (2×2=4)</w:t>
            </w:r>
          </w:p>
        </w:tc>
        <w:tc>
          <w:tcPr>
            <w:tcW w:type="dxa" w:w="16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Low (1×2=2)</w:t>
            </w:r>
          </w:p>
        </w:tc>
        <w:tc>
          <w:tcPr>
            <w:tcW w:type="dxa" w:w="39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Mitigate: make MFA mandatory for all patients, with a phased roll-out and support for those without smartphones.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R-03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An insider or attacker uses an orphaned or over-privileged account to access or change data.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F-04</w:t>
            </w:r>
          </w:p>
          <w:p>
            <w:pPr>
              <w:spacing w:after="0"/>
            </w:pPr>
            <w:r>
              <w:rPr>
                <w:rFonts w:ascii="Calibri" w:cs="Calibri" w:eastAsia="Calibri" w:hAnsi="Calibri"/>
                <w:sz w:val="17"/>
                <w:szCs w:val="17"/>
              </w:rPr>
              <w:t xml:space="preserve">AC-2</w:t>
            </w:r>
          </w:p>
        </w:tc>
        <w:tc>
          <w:tcPr>
            <w:tcW w:type="dxa" w:w="15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High (2×3=6)</w:t>
            </w:r>
          </w:p>
        </w:tc>
        <w:tc>
          <w:tcPr>
            <w:tcW w:type="dxa" w:w="16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Moderate (2×2=4)</w:t>
            </w:r>
          </w:p>
        </w:tc>
        <w:tc>
          <w:tcPr>
            <w:tcW w:type="dxa" w:w="16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Low (1×2=2)</w:t>
            </w:r>
          </w:p>
        </w:tc>
        <w:tc>
          <w:tcPr>
            <w:tcW w:type="dxa" w:w="39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Mitigate: disable orphaned accounts now, link HR leaver feed to the IdP, run quarterly recertification.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R-04</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Malicious activity goes unnoticed because logs are not regularly reviewed, delaying breach detection.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F-02</w:t>
            </w:r>
          </w:p>
          <w:p>
            <w:pPr>
              <w:spacing w:after="0"/>
            </w:pPr>
            <w:r>
              <w:rPr>
                <w:rFonts w:ascii="Calibri" w:cs="Calibri" w:eastAsia="Calibri" w:hAnsi="Calibri"/>
                <w:sz w:val="17"/>
                <w:szCs w:val="17"/>
              </w:rPr>
              <w:t xml:space="preserve">AU-6</w:t>
            </w:r>
          </w:p>
        </w:tc>
        <w:tc>
          <w:tcPr>
            <w:tcW w:type="dxa" w:w="15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High (2×3=6)</w:t>
            </w:r>
          </w:p>
        </w:tc>
        <w:tc>
          <w:tcPr>
            <w:tcW w:type="dxa" w:w="16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Moderate (2×2=4)</w:t>
            </w:r>
          </w:p>
        </w:tc>
        <w:tc>
          <w:tcPr>
            <w:tcW w:type="dxa" w:w="16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Low (1×2=2)</w:t>
            </w:r>
          </w:p>
        </w:tc>
        <w:tc>
          <w:tcPr>
            <w:tcW w:type="dxa" w:w="39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Mitigate: weekly review procedure, use-case-based SIEM reports, review sign-off.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R-05</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Ransomware or a failure destroys data and the untested backups cannot be restored in time.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F-03</w:t>
            </w:r>
          </w:p>
          <w:p>
            <w:pPr>
              <w:spacing w:after="0"/>
            </w:pPr>
            <w:r>
              <w:rPr>
                <w:rFonts w:ascii="Calibri" w:cs="Calibri" w:eastAsia="Calibri" w:hAnsi="Calibri"/>
                <w:sz w:val="17"/>
                <w:szCs w:val="17"/>
              </w:rPr>
              <w:t xml:space="preserve">CP-9</w:t>
            </w:r>
          </w:p>
        </w:tc>
        <w:tc>
          <w:tcPr>
            <w:tcW w:type="dxa" w:w="15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7"/>
                <w:szCs w:val="17"/>
              </w:rPr>
              <w:t xml:space="preserve">High (2×3=6)</w:t>
            </w:r>
          </w:p>
        </w:tc>
        <w:tc>
          <w:tcPr>
            <w:tcW w:type="dxa" w:w="16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Moderate (2×2=4)</w:t>
            </w:r>
          </w:p>
        </w:tc>
        <w:tc>
          <w:tcPr>
            <w:tcW w:type="dxa" w:w="16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Low (1×2=2)</w:t>
            </w:r>
          </w:p>
        </w:tc>
        <w:tc>
          <w:tcPr>
            <w:tcW w:type="dxa" w:w="39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Mitigate: quarterly restore test, documented recovery time objective, immutable backup copy.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R-06</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Configuration drift leaves two servers with weak settings that widen the attack surface.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F-06</w:t>
            </w:r>
          </w:p>
          <w:p>
            <w:pPr>
              <w:spacing w:after="0"/>
            </w:pPr>
            <w:r>
              <w:rPr>
                <w:rFonts w:ascii="Calibri" w:cs="Calibri" w:eastAsia="Calibri" w:hAnsi="Calibri"/>
                <w:sz w:val="17"/>
                <w:szCs w:val="17"/>
              </w:rPr>
              <w:t xml:space="preserve">CM-6</w:t>
            </w:r>
          </w:p>
        </w:tc>
        <w:tc>
          <w:tcPr>
            <w:tcW w:type="dxa" w:w="15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Moderate (2×2=4)</w:t>
            </w:r>
          </w:p>
        </w:tc>
        <w:tc>
          <w:tcPr>
            <w:tcW w:type="dxa" w:w="16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Low (2×1=2)</w:t>
            </w:r>
          </w:p>
        </w:tc>
        <w:tc>
          <w:tcPr>
            <w:tcW w:type="dxa" w:w="16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7"/>
                <w:szCs w:val="17"/>
              </w:rPr>
              <w:t xml:space="preserve">Low (1×1=1)</w:t>
            </w:r>
          </w:p>
        </w:tc>
        <w:tc>
          <w:tcPr>
            <w:tcW w:type="dxa" w:w="39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Mitigate: rebuild from hardened image and enforce drift detection in the compliance scan.</w:t>
            </w:r>
          </w:p>
        </w:tc>
      </w:tr>
    </w:tbl>
    <w:p>
      <w:pPr>
        <w:spacing w:after="10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Overall residual risk: </w:t>
      </w:r>
      <w:r>
        <w:rPr>
          <w:rFonts w:ascii="Calibri" w:cs="Calibri" w:eastAsia="Calibri" w:hAnsi="Calibri"/>
          <w:sz w:val="21"/>
          <w:szCs w:val="21"/>
        </w:rPr>
        <w:t xml:space="preserve">Moderate. One risk (R-01) is currently High and is treated as a condition of authorization. After remediation, the target profile is 1 Moderate and 5 Low.</w:t>
      </w:r>
    </w:p>
    <w:p>
      <w:pPr>
        <w:sectPr>
          <w:footerReference w:type="default" r:id="rId8"/>
          <w:pgSz w:w="16838" w:h="11906" w:orient="landscape"/>
          <w:pgMar w:top="1134" w:right="1134" w:bottom="1134" w:left="1134" w:header="708" w:footer="708" w:gutter="0"/>
          <w:pgNumType/>
          <w:docGrid w:linePitch="360"/>
        </w:sectPr>
      </w:pPr>
    </w:p>
    <w:p>
      <w:pPr>
        <w:pStyle w:val="Heading1"/>
      </w:pPr>
      <w:r>
        <w:rPr>
          <w:rFonts w:ascii="Calibri" w:cs="Calibri" w:eastAsia="Calibri" w:hAnsi="Calibri"/>
        </w:rPr>
        <w:t xml:space="preserve">7. Step 4: Authorize</w:t>
      </w:r>
    </w:p>
    <w:p>
      <w:pPr>
        <w:spacing w:after="120" w:line="276"/>
      </w:pPr>
      <w:r>
        <w:rPr>
          <w:rFonts w:ascii="Calibri" w:cs="Calibri" w:eastAsia="Calibri" w:hAnsi="Calibri"/>
          <w:sz w:val="21"/>
          <w:szCs w:val="21"/>
        </w:rPr>
        <w:t xml:space="preserve">The Authorizing Official (AO) makes a risk-based decision after reviewing the security assessment results, the risk register and the plan of action and milestones (POA&amp;M).</w:t>
      </w:r>
    </w:p>
    <w:p>
      <w:pPr>
        <w:pStyle w:val="Heading2"/>
      </w:pPr>
      <w:r>
        <w:rPr>
          <w:rFonts w:ascii="Calibri" w:cs="Calibri" w:eastAsia="Calibri" w:hAnsi="Calibri"/>
        </w:rPr>
        <w:t xml:space="preserve">7.1 Authorization decision memo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Item</w:t>
            </w:r>
          </w:p>
        </w:tc>
        <w:tc>
          <w:tcPr>
            <w:tcW w:type="dxa" w:w="73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Decision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System</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MediConnect Patient Portal (Moderate)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Decision</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Conditional Authorization to Operate (ATO)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Term</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12 months, until 30 September 2027, or until a significant change or event triggers earlier review</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Overall residual risk</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Moderate, judged acceptable given the strong baseline controls (14 of 20 satisfied) and a funded remediation plan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Condition 1</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Close F-01 (patching) within 60 days, by 30 November 2026. If missed, the AO reviews whether the ATO continues.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Condition 2</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Report POA&amp;M status to the AO monthly until all items are closed.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Condition 3</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Implement mandatory MFA for patients (F-05) by 31 January 2027.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Rationale</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The High-rated weakness has a clear fix and short timeline. The remaining risks are Moderate or Low, and no weakness allows unauthenticated bulk access to patient data.</w:t>
            </w:r>
          </w:p>
        </w:tc>
      </w:tr>
    </w:tbl>
    <w:p>
      <w:pPr>
        <w:spacing w:after="100" w:line="276"/>
      </w:pPr>
      <w:r>
        <w:rPr>
          <w:rFonts w:ascii="Calibri" w:cs="Calibri" w:eastAsia="Calibri" w:hAnsi="Calibri"/>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900"/>
        <w:gridCol w:w="17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Role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Name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Signature</w:t>
            </w:r>
          </w:p>
        </w:tc>
        <w:tc>
          <w:tcPr>
            <w:tcW w:type="dxa" w:w="1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Date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Authorizing Official (CIO)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System Owner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Information System Security Officer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[Name]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Security Control Assessor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Samiksha Chimote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r>
    </w:tbl>
    <w:p>
      <w:pPr>
        <w:spacing w:after="100" w:line="276"/>
      </w:pPr>
      <w:r>
        <w:rPr>
          <w:rFonts w:ascii="Calibri" w:cs="Calibri" w:eastAsia="Calibri" w:hAnsi="Calibri"/>
          <w:sz w:val="21"/>
          <w:szCs w:val="21"/>
        </w:rPr>
        <w:t xml:space="preserve"/>
      </w:r>
    </w:p>
    <w:p>
      <w:pPr>
        <w:pStyle w:val="Heading2"/>
      </w:pPr>
      <w:r>
        <w:rPr>
          <w:rFonts w:ascii="Calibri" w:cs="Calibri" w:eastAsia="Calibri" w:hAnsi="Calibri"/>
        </w:rPr>
        <w:t xml:space="preserve">7.2 Plan of action and milestones (POA&amp;M)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838"/>
        <w:gridCol w:w="1900"/>
        <w:gridCol w:w="140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Owner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Due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Priority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F-01</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Automate patching of internet-facing servers, clear the current backlog and track the 15-day SLA on a dashboard.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Infrastructure lead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30 Nov 2026</w:t>
            </w:r>
          </w:p>
        </w:tc>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pPr>
            <w:r>
              <w:rPr>
                <w:rFonts w:ascii="Calibri" w:cs="Calibri" w:eastAsia="Calibri" w:hAnsi="Calibri"/>
                <w:sz w:val="18"/>
                <w:szCs w:val="18"/>
              </w:rPr>
              <w:t xml:space="preserve">High</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F-04</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Disable the 3 orphaned accounts immediately. Integrate the HR leaver feed with the IdP and perform the first admin access review.</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IAM manager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31 Oct 2026</w:t>
            </w:r>
          </w:p>
        </w:tc>
        <w:tc>
          <w:tcPr>
            <w:tcW w:type="dxa" w:w="17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F-02</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Publish the weekly log review procedure and assign reviewers.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SOC lead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15 Nov 2026</w:t>
            </w:r>
          </w:p>
        </w:tc>
        <w:tc>
          <w:tcPr>
            <w:tcW w:type="dxa" w:w="17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F-03</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Perform a full restore test, record the recovery time, and add an immutable backup copy.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Database administrator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15 Dec 2026</w:t>
            </w:r>
          </w:p>
        </w:tc>
        <w:tc>
          <w:tcPr>
            <w:tcW w:type="dxa" w:w="17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F-05</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Make MFA mandatory for patients with phased roll-out and support.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Product owner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31 Jan 2027</w:t>
            </w:r>
          </w:p>
        </w:tc>
        <w:tc>
          <w:tcPr>
            <w:tcW w:type="dxa" w:w="1700"/>
            <w:tcBorders>
              <w:top w:val="single" w:color="BFBFBF" w:sz="4"/>
              <w:left w:val="single" w:color="BFBFBF" w:sz="4"/>
              <w:bottom w:val="single" w:color="BFBFBF" w:sz="4"/>
              <w:right w:val="single" w:color="BFBFBF" w:sz="4"/>
            </w:tcBorders>
            <w:shd w:fill="FFE599" w:color="auto" w:val="clear"/>
            <w:tcMar>
              <w:top w:type="dxa" w:w="60"/>
              <w:left w:type="dxa" w:w="90"/>
              <w:bottom w:type="dxa" w:w="60"/>
              <w:right w:type="dxa" w:w="90"/>
            </w:tcMar>
          </w:tcPr>
          <w:p>
            <w:pPr>
              <w:spacing w:after="0"/>
            </w:pPr>
            <w:r>
              <w:rPr>
                <w:rFonts w:ascii="Calibri" w:cs="Calibri" w:eastAsia="Calibri" w:hAnsi="Calibri"/>
                <w:sz w:val="18"/>
                <w:szCs w:val="18"/>
              </w:rPr>
              <w:t xml:space="preserve">Moderate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F-06</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Rebuild the 2 non-compliant servers and enable drift alerts.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Infrastructure lead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31 Oct 2026</w:t>
            </w:r>
          </w:p>
        </w:tc>
        <w:tc>
          <w:tcPr>
            <w:tcW w:type="dxa" w:w="170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tcPr>
          <w:p>
            <w:pPr>
              <w:spacing w:after="0"/>
            </w:pPr>
            <w:r>
              <w:rPr>
                <w:rFonts w:ascii="Calibri" w:cs="Calibri" w:eastAsia="Calibri" w:hAnsi="Calibri"/>
                <w:sz w:val="18"/>
                <w:szCs w:val="18"/>
              </w:rPr>
              <w:t xml:space="preserve">Low</w:t>
            </w:r>
          </w:p>
        </w:tc>
      </w:tr>
    </w:tbl>
    <w:p>
      <w:pPr>
        <w:spacing w:after="100" w:line="276"/>
      </w:pPr>
      <w:r>
        <w:rPr>
          <w:rFonts w:ascii="Calibri" w:cs="Calibri" w:eastAsia="Calibri" w:hAnsi="Calibri"/>
          <w:sz w:val="21"/>
          <w:szCs w:val="21"/>
        </w:rPr>
        <w:t xml:space="preserve"/>
      </w:r>
    </w:p>
    <w:p>
      <w:pPr>
        <w:pStyle w:val="Heading1"/>
      </w:pPr>
      <w:r>
        <w:rPr>
          <w:rFonts w:ascii="Calibri" w:cs="Calibri" w:eastAsia="Calibri" w:hAnsi="Calibri"/>
        </w:rPr>
        <w:t xml:space="preserve">8. Step 5: Monitor</w:t>
      </w:r>
    </w:p>
    <w:p>
      <w:pPr>
        <w:spacing w:after="120" w:line="276"/>
      </w:pPr>
      <w:r>
        <w:rPr>
          <w:rFonts w:ascii="Calibri" w:cs="Calibri" w:eastAsia="Calibri" w:hAnsi="Calibri"/>
          <w:sz w:val="21"/>
          <w:szCs w:val="21"/>
        </w:rPr>
        <w:t xml:space="preserve">Continuous monitoring keeps the risk picture current between assessments. The activities below cover the controls that failed assessment and the controls whose risk changes fastest.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300"/>
        <w:gridCol w:w="2000"/>
        <w:gridCol w:w="29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Activity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Frequency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Owner</w:t>
            </w:r>
          </w:p>
        </w:tc>
        <w:tc>
          <w:tcPr>
            <w:tcW w:type="dxa" w:w="2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Metric or trigger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Authenticated vulnerability scanning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RA-5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Weekly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Security engineer</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New critical or high findings; time to remediate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Patch compliance reporting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SI-2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Monthly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Infrastructure lead</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 of critical patches within 15 days (target 100%)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Log review</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Weekly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SOC lead</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Review completed and signed off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Access recertification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AC-2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Quarterly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IAM manager</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Orphaned accounts (target 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Backup restore test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CP-9</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Quarterly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Database administrator</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Restore success and recovery time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Configuration compliance scan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CM-6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Monthly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Infrastructure lead</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 of servers matching baseline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Patient MFA adoption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IA-2(2)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Monthly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Product owner</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 of patient accounts with MFA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Incident response exercise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IR-4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Every 6 months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Security manager</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Lessons learned tracked to closure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POA&amp;M and risk register review</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CA-5, RA-3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Monthly / quarterly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ISSO</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Overdue items; change in residual ratings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Annual control reassessment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Annually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Independent assessor</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Findings vs. prior year</w:t>
            </w:r>
          </w:p>
        </w:tc>
      </w:tr>
    </w:tbl>
    <w:p>
      <w:pPr>
        <w:spacing w:after="100" w:line="276"/>
      </w:pPr>
      <w:r>
        <w:rPr>
          <w:rFonts w:ascii="Calibri" w:cs="Calibri" w:eastAsia="Calibri" w:hAnsi="Calibri"/>
          <w:sz w:val="21"/>
          <w:szCs w:val="21"/>
        </w:rPr>
        <w:t xml:space="preserve"/>
      </w:r>
    </w:p>
    <w:p>
      <w:pPr>
        <w:spacing w:after="60" w:line="276"/>
      </w:pPr>
      <w:r>
        <w:rPr>
          <w:rFonts w:ascii="Calibri" w:cs="Calibri" w:eastAsia="Calibri" w:hAnsi="Calibri"/>
          <w:b/>
          <w:bCs/>
          <w:sz w:val="21"/>
          <w:szCs w:val="21"/>
        </w:rPr>
        <w:t xml:space="preserve">Reauthorization triggers</w:t>
      </w:r>
    </w:p>
    <w:p>
      <w:pPr>
        <w:pStyle w:val="ListParagraph"/>
        <w:numPr>
          <w:ilvl w:val="0"/>
          <w:numId w:val="2"/>
        </w:numPr>
        <w:spacing w:after="60"/>
      </w:pPr>
      <w:r>
        <w:rPr>
          <w:rFonts w:ascii="Calibri" w:cs="Calibri" w:eastAsia="Calibri" w:hAnsi="Calibri"/>
          <w:sz w:val="21"/>
          <w:szCs w:val="21"/>
        </w:rPr>
        <w:t xml:space="preserve">A major architecture or hosting change, or a new interface exposing patient data.</w:t>
      </w:r>
    </w:p>
    <w:p>
      <w:pPr>
        <w:pStyle w:val="ListParagraph"/>
        <w:numPr>
          <w:ilvl w:val="0"/>
          <w:numId w:val="2"/>
        </w:numPr>
        <w:spacing w:after="60"/>
      </w:pPr>
      <w:r>
        <w:rPr>
          <w:rFonts w:ascii="Calibri" w:cs="Calibri" w:eastAsia="Calibri" w:hAnsi="Calibri"/>
          <w:sz w:val="21"/>
          <w:szCs w:val="21"/>
        </w:rPr>
        <w:t xml:space="preserve">A security incident involving PHI, or a new critical vulnerability with no mitigation.</w:t>
      </w:r>
    </w:p>
    <w:p>
      <w:pPr>
        <w:pStyle w:val="ListParagraph"/>
        <w:numPr>
          <w:ilvl w:val="0"/>
          <w:numId w:val="2"/>
        </w:numPr>
        <w:spacing w:after="60"/>
      </w:pPr>
      <w:r>
        <w:rPr>
          <w:rFonts w:ascii="Calibri" w:cs="Calibri" w:eastAsia="Calibri" w:hAnsi="Calibri"/>
          <w:sz w:val="21"/>
          <w:szCs w:val="21"/>
        </w:rPr>
        <w:t xml:space="preserve">A missed condition of the ATO, such as F-01 not closed by 30 November 2026.</w:t>
      </w:r>
    </w:p>
    <w:p>
      <w:pPr>
        <w:pStyle w:val="ListParagraph"/>
        <w:numPr>
          <w:ilvl w:val="0"/>
          <w:numId w:val="2"/>
        </w:numPr>
        <w:spacing w:after="60"/>
      </w:pPr>
      <w:r>
        <w:rPr>
          <w:rFonts w:ascii="Calibri" w:cs="Calibri" w:eastAsia="Calibri" w:hAnsi="Calibri"/>
          <w:sz w:val="21"/>
          <w:szCs w:val="21"/>
        </w:rPr>
        <w:t xml:space="preserve">Expiry of the ATO term, or a significant change in the threat landscape or regulations.</w:t>
      </w:r>
    </w:p>
    <w:p>
      <w:pPr>
        <w:spacing w:after="100" w:line="276"/>
      </w:pPr>
      <w:r>
        <w:rPr>
          <w:rFonts w:ascii="Calibri" w:cs="Calibri" w:eastAsia="Calibri" w:hAnsi="Calibri"/>
          <w:sz w:val="21"/>
          <w:szCs w:val="21"/>
        </w:rPr>
        <w:t xml:space="preserve"/>
      </w:r>
    </w:p>
    <w:p>
      <w:pPr>
        <w:pStyle w:val="Heading1"/>
      </w:pPr>
      <w:r>
        <w:rPr>
          <w:rFonts w:ascii="Calibri" w:cs="Calibri" w:eastAsia="Calibri" w:hAnsi="Calibri"/>
        </w:rPr>
        <w:t xml:space="preserve">9. Conclusion</w:t>
      </w:r>
    </w:p>
    <w:p>
      <w:pPr>
        <w:spacing w:after="120" w:line="276"/>
      </w:pPr>
      <w:r>
        <w:rPr>
          <w:rFonts w:ascii="Calibri" w:cs="Calibri" w:eastAsia="Calibri" w:hAnsi="Calibri"/>
          <w:sz w:val="21"/>
          <w:szCs w:val="21"/>
        </w:rPr>
        <w:t xml:space="preserve">MediConnect has a solid Moderate-baseline foundation: 14 of the 20 assessed controls are fully satisfied, including encryption, boundary protection and incident response. The main gaps are operational, not architectural: patching speed, access review, log review, backup testing, patient MFA and configuration drift. Each gap has an owner and a due date. With the POA&amp;M complete, residual risk falls from Moderate overall (with one High item) to mostly Low. Authorizing the system conditionally is a reasonable decision, as long as the monitoring plan in Section 8 is followed.</w:t>
      </w:r>
    </w:p>
    <w:p>
      <w:pPr>
        <w:pStyle w:val="Heading2"/>
      </w:pPr>
      <w:r>
        <w:rPr>
          <w:rFonts w:ascii="Calibri" w:cs="Calibri" w:eastAsia="Calibri" w:hAnsi="Calibri"/>
        </w:rPr>
        <w:t xml:space="preserve">References</w:t>
      </w:r>
    </w:p>
    <w:p>
      <w:pPr>
        <w:pStyle w:val="ListParagraph"/>
        <w:numPr>
          <w:ilvl w:val="0"/>
          <w:numId w:val="2"/>
        </w:numPr>
        <w:spacing w:after="60"/>
      </w:pPr>
      <w:r>
        <w:rPr>
          <w:rFonts w:ascii="Calibri" w:cs="Calibri" w:eastAsia="Calibri" w:hAnsi="Calibri"/>
          <w:sz w:val="21"/>
          <w:szCs w:val="21"/>
        </w:rPr>
        <w:t xml:space="preserve">NIST SP 800-37 Rev. 2, Risk Management Framework for Information Systems and Organizations</w:t>
      </w:r>
    </w:p>
    <w:p>
      <w:pPr>
        <w:pStyle w:val="ListParagraph"/>
        <w:numPr>
          <w:ilvl w:val="0"/>
          <w:numId w:val="2"/>
        </w:numPr>
        <w:spacing w:after="60"/>
      </w:pPr>
      <w:r>
        <w:rPr>
          <w:rFonts w:ascii="Calibri" w:cs="Calibri" w:eastAsia="Calibri" w:hAnsi="Calibri"/>
          <w:sz w:val="21"/>
          <w:szCs w:val="21"/>
        </w:rPr>
        <w:t xml:space="preserve">FIPS 199, Standards for Security Categorization of Federal Information and Information Systems</w:t>
      </w:r>
    </w:p>
    <w:p>
      <w:pPr>
        <w:pStyle w:val="ListParagraph"/>
        <w:numPr>
          <w:ilvl w:val="0"/>
          <w:numId w:val="2"/>
        </w:numPr>
        <w:spacing w:after="60"/>
      </w:pPr>
      <w:r>
        <w:rPr>
          <w:rFonts w:ascii="Calibri" w:cs="Calibri" w:eastAsia="Calibri" w:hAnsi="Calibri"/>
          <w:sz w:val="21"/>
          <w:szCs w:val="21"/>
        </w:rPr>
        <w:t xml:space="preserve">NIST SP 800-60, Guide for Mapping Types of Information and Systems to Security Categories</w:t>
      </w:r>
    </w:p>
    <w:p>
      <w:pPr>
        <w:pStyle w:val="ListParagraph"/>
        <w:numPr>
          <w:ilvl w:val="0"/>
          <w:numId w:val="2"/>
        </w:numPr>
        <w:spacing w:after="60"/>
      </w:pPr>
      <w:r>
        <w:rPr>
          <w:rFonts w:ascii="Calibri" w:cs="Calibri" w:eastAsia="Calibri" w:hAnsi="Calibri"/>
          <w:sz w:val="21"/>
          <w:szCs w:val="21"/>
        </w:rPr>
        <w:t xml:space="preserve">NIST SP 800-53 Rev. 5, Security and Privacy Controls; SP 800-53A Rev. 5, Assessing Security and Privacy Controls</w:t>
      </w:r>
    </w:p>
    <w:p>
      <w:pPr>
        <w:pStyle w:val="ListParagraph"/>
        <w:numPr>
          <w:ilvl w:val="0"/>
          <w:numId w:val="2"/>
        </w:numPr>
        <w:spacing w:after="60"/>
      </w:pPr>
      <w:r>
        <w:rPr>
          <w:rFonts w:ascii="Calibri" w:cs="Calibri" w:eastAsia="Calibri" w:hAnsi="Calibri"/>
          <w:sz w:val="21"/>
          <w:szCs w:val="21"/>
        </w:rPr>
        <w:t xml:space="preserve">NIST SP 800-30 Rev. 1, Guide for Conducting Risk Assessments</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MediConnect Patient Portal | NIST RMF Risk Assessment Report | Simulated exercise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MediConnect Patient Portal | NIST RMF Risk Assessment Report | Simulated exercise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MediConnect Patient Portal | NIST RMF Risk Assessment Report | Simulated exercise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with NIST RMF: MediConnect Patient Portal</dc:title>
  <dc:creator>Samiksha Chimote</dc:creator>
  <cp:lastModifiedBy>Un-named</cp:lastModifiedBy>
  <cp:revision>1</cp:revision>
  <dcterms:created xsi:type="dcterms:W3CDTF">2026-09-30T14:06:09.739Z</dcterms:created>
  <dcterms:modified xsi:type="dcterms:W3CDTF">2026-09-30T14:06:09.749Z</dcterms:modified>
</cp:coreProperties>
</file>

<file path=docProps/custom.xml><?xml version="1.0" encoding="utf-8"?>
<Properties xmlns="http://schemas.openxmlformats.org/officeDocument/2006/custom-properties" xmlns:vt="http://schemas.openxmlformats.org/officeDocument/2006/docPropsVTypes"/>
</file>