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97FD7" w14:textId="397B7A36" w:rsidR="00DA51B1" w:rsidRPr="00DA51B1" w:rsidRDefault="00DA51B1" w:rsidP="008B2DBA">
      <w:pPr>
        <w:jc w:val="both"/>
        <w:rPr>
          <w:rFonts w:ascii="Times New Roman" w:hAnsi="Times New Roman" w:cs="Times New Roman"/>
          <w:b/>
          <w:bCs/>
          <w:sz w:val="24"/>
          <w:szCs w:val="24"/>
        </w:rPr>
      </w:pPr>
      <w:r w:rsidRPr="00DA51B1">
        <w:rPr>
          <w:rFonts w:ascii="Times New Roman" w:hAnsi="Times New Roman" w:cs="Times New Roman"/>
          <w:b/>
          <w:bCs/>
          <w:sz w:val="24"/>
          <w:szCs w:val="24"/>
        </w:rPr>
        <w:t>BACKGROUND STUDY ON CHEMISTRY EDUCATION: TEST ANXIETY, SELF-REGULATION,  INTEREST DEVELOPMENT</w:t>
      </w:r>
      <w:r w:rsidR="000D456B">
        <w:rPr>
          <w:rFonts w:ascii="Times New Roman" w:hAnsi="Times New Roman" w:cs="Times New Roman"/>
          <w:b/>
          <w:bCs/>
          <w:sz w:val="24"/>
          <w:szCs w:val="24"/>
        </w:rPr>
        <w:t xml:space="preserve"> AND ACADEMIC ACHIEVMENT</w:t>
      </w:r>
    </w:p>
    <w:p w14:paraId="01A4F44E" w14:textId="77777777" w:rsidR="00DA51B1" w:rsidRPr="00DA51B1" w:rsidRDefault="00DA51B1" w:rsidP="008B2DBA">
      <w:pPr>
        <w:jc w:val="both"/>
        <w:rPr>
          <w:rFonts w:ascii="Times New Roman" w:hAnsi="Times New Roman" w:cs="Times New Roman"/>
          <w:sz w:val="24"/>
          <w:szCs w:val="24"/>
        </w:rPr>
      </w:pPr>
      <w:r w:rsidRPr="00DA51B1">
        <w:rPr>
          <w:rFonts w:ascii="Times New Roman" w:hAnsi="Times New Roman" w:cs="Times New Roman"/>
          <w:sz w:val="24"/>
          <w:szCs w:val="24"/>
        </w:rPr>
        <w:t>Science stands as the bedrock of modern civilization, driving technological innovation and industrial progress across the globe. Among the scientific disciplines, chemistry occupies a central position, serving as a bridge between various fields of natural sciences and providing fundamental insights that drive advancements in numerous sectors. Chemistry's influence permeates virtually every aspect of contemporary life, from medications to energy sources, from infrastructure materials to agricultural practices (Matlin et al., 2015).</w:t>
      </w:r>
    </w:p>
    <w:p w14:paraId="303CFE86" w14:textId="77777777" w:rsidR="00DA51B1" w:rsidRPr="00DA51B1" w:rsidRDefault="00DA51B1" w:rsidP="008B2DBA">
      <w:pPr>
        <w:jc w:val="both"/>
        <w:rPr>
          <w:rFonts w:ascii="Times New Roman" w:hAnsi="Times New Roman" w:cs="Times New Roman"/>
          <w:sz w:val="24"/>
          <w:szCs w:val="24"/>
        </w:rPr>
      </w:pPr>
      <w:r w:rsidRPr="00DA51B1">
        <w:rPr>
          <w:rFonts w:ascii="Times New Roman" w:hAnsi="Times New Roman" w:cs="Times New Roman"/>
          <w:sz w:val="24"/>
          <w:szCs w:val="24"/>
        </w:rPr>
        <w:t>The significance of chemistry is evident in its ubiquitous applications. In healthcare, chemical principles underpin drug discovery and delivery systems. In agriculture, chemistry contributes to fertilizer formulation and pest management. In the energy sector, chemical processes facilitate fuel refinement and battery technology development. In manufacturing, chemical knowledge drives material innovation and process optimization (Anastas &amp; Zimmerman, 2018).</w:t>
      </w:r>
    </w:p>
    <w:p w14:paraId="2EFD1846" w14:textId="77777777" w:rsidR="00DA51B1" w:rsidRPr="00DA51B1" w:rsidRDefault="00DA51B1" w:rsidP="008B2DBA">
      <w:pPr>
        <w:jc w:val="both"/>
        <w:rPr>
          <w:rFonts w:ascii="Times New Roman" w:hAnsi="Times New Roman" w:cs="Times New Roman"/>
          <w:sz w:val="24"/>
          <w:szCs w:val="24"/>
        </w:rPr>
      </w:pPr>
      <w:r w:rsidRPr="00DA51B1">
        <w:rPr>
          <w:rFonts w:ascii="Times New Roman" w:hAnsi="Times New Roman" w:cs="Times New Roman"/>
          <w:sz w:val="24"/>
          <w:szCs w:val="24"/>
        </w:rPr>
        <w:t>Given this pervasive influence, a robust understanding of chemistry is not merely academically beneficial but economically and socially imperative. Nations with strong chemistry education systems tend to demonstrate greater technological innovation and industrial competitiveness. Conversely, deficiencies in chemistry education can hamper scientific progress and limit effective responses to pressing challenges (Mahaffy et al., 2018).</w:t>
      </w:r>
    </w:p>
    <w:p w14:paraId="0EAB45AC" w14:textId="5596EF01" w:rsidR="00DA51B1" w:rsidRPr="00DA51B1" w:rsidRDefault="00DA51B1" w:rsidP="008B2DBA">
      <w:pPr>
        <w:jc w:val="both"/>
        <w:rPr>
          <w:rFonts w:ascii="Times New Roman" w:hAnsi="Times New Roman" w:cs="Times New Roman"/>
          <w:sz w:val="24"/>
          <w:szCs w:val="24"/>
        </w:rPr>
      </w:pPr>
      <w:r w:rsidRPr="00DA51B1">
        <w:rPr>
          <w:rFonts w:ascii="Times New Roman" w:hAnsi="Times New Roman" w:cs="Times New Roman"/>
          <w:sz w:val="24"/>
          <w:szCs w:val="24"/>
        </w:rPr>
        <w:t xml:space="preserve">Despite its importance, chemistry education faces significant challenges. Students often perceive chemistry as abstract, complex, and disconnected from everyday experiences. This perception frequently translates into diminished interest, reduced engagement, and ultimately, poor academic performance (Gilbert &amp; </w:t>
      </w:r>
      <w:proofErr w:type="spellStart"/>
      <w:r w:rsidRPr="00DA51B1">
        <w:rPr>
          <w:rFonts w:ascii="Times New Roman" w:hAnsi="Times New Roman" w:cs="Times New Roman"/>
          <w:sz w:val="24"/>
          <w:szCs w:val="24"/>
        </w:rPr>
        <w:t>Treagust</w:t>
      </w:r>
      <w:proofErr w:type="spellEnd"/>
      <w:r w:rsidRPr="00DA51B1">
        <w:rPr>
          <w:rFonts w:ascii="Times New Roman" w:hAnsi="Times New Roman" w:cs="Times New Roman"/>
          <w:sz w:val="24"/>
          <w:szCs w:val="24"/>
        </w:rPr>
        <w:t>, 2016).</w:t>
      </w:r>
    </w:p>
    <w:p w14:paraId="5B9C8BEF" w14:textId="77777777" w:rsidR="00DA51B1" w:rsidRPr="00DA51B1" w:rsidRDefault="00DA51B1" w:rsidP="008B2DBA">
      <w:pPr>
        <w:jc w:val="both"/>
        <w:rPr>
          <w:rFonts w:ascii="Times New Roman" w:hAnsi="Times New Roman" w:cs="Times New Roman"/>
          <w:sz w:val="24"/>
          <w:szCs w:val="24"/>
        </w:rPr>
      </w:pPr>
      <w:r w:rsidRPr="00DA51B1">
        <w:rPr>
          <w:rFonts w:ascii="Times New Roman" w:hAnsi="Times New Roman" w:cs="Times New Roman"/>
          <w:sz w:val="24"/>
          <w:szCs w:val="24"/>
        </w:rPr>
        <w:t>Chemistry is the scientific discipline concerned with the properties, composition, structure, and transformations of matter. Its scope encompasses the study of elements and compounds, their interactions, and the energy changes accompanying these interactions. Through systematic observation, experimentation, and theoretical analysis, chemistry provides explanations for natural phenomena at molecular and atomic levels (Taber, 2017).</w:t>
      </w:r>
    </w:p>
    <w:p w14:paraId="1FB12F5C" w14:textId="77777777" w:rsidR="00DA51B1" w:rsidRPr="00DA51B1" w:rsidRDefault="00DA51B1" w:rsidP="008B2DBA">
      <w:pPr>
        <w:jc w:val="both"/>
        <w:rPr>
          <w:rFonts w:ascii="Times New Roman" w:hAnsi="Times New Roman" w:cs="Times New Roman"/>
          <w:sz w:val="24"/>
          <w:szCs w:val="24"/>
        </w:rPr>
      </w:pPr>
      <w:r w:rsidRPr="00DA51B1">
        <w:rPr>
          <w:rFonts w:ascii="Times New Roman" w:hAnsi="Times New Roman" w:cs="Times New Roman"/>
          <w:sz w:val="24"/>
          <w:szCs w:val="24"/>
        </w:rPr>
        <w:t>The discipline is traditionally divided into several specialized branches: organic chemistry (carbon-containing compounds), inorganic chemistry (primarily non-carbon compounds), physical chemistry (physical principles underlying chemical phenomena), analytical chemistry (methods for identifying and quantifying substances), and biochemistry (chemical processes within living organisms). These branches, while distinct in focus, are increasingly interconnected (Johnstone, 2010).</w:t>
      </w:r>
    </w:p>
    <w:p w14:paraId="6B72A699" w14:textId="77777777" w:rsidR="00DA51B1" w:rsidRPr="00DA51B1" w:rsidRDefault="00DA51B1" w:rsidP="008B2DBA">
      <w:pPr>
        <w:jc w:val="both"/>
        <w:rPr>
          <w:rFonts w:ascii="Times New Roman" w:hAnsi="Times New Roman" w:cs="Times New Roman"/>
          <w:sz w:val="24"/>
          <w:szCs w:val="24"/>
        </w:rPr>
      </w:pPr>
      <w:r w:rsidRPr="00DA51B1">
        <w:rPr>
          <w:rFonts w:ascii="Times New Roman" w:hAnsi="Times New Roman" w:cs="Times New Roman"/>
          <w:sz w:val="24"/>
          <w:szCs w:val="24"/>
        </w:rPr>
        <w:t>Chemistry's designation as the "central science" stems from its position at the intersection of multiple scientific domains. It shares fundamental principles with physics while providing essential foundations for biological sciences. Chemistry also informs environmental sciences, materials science, engineering, and numerous other fields (Brown et al., 2018).</w:t>
      </w:r>
    </w:p>
    <w:p w14:paraId="286E350B" w14:textId="77777777" w:rsidR="00DA51B1" w:rsidRPr="00DA51B1" w:rsidRDefault="00DA51B1" w:rsidP="008B2DBA">
      <w:pPr>
        <w:jc w:val="both"/>
        <w:rPr>
          <w:rFonts w:ascii="Times New Roman" w:hAnsi="Times New Roman" w:cs="Times New Roman"/>
          <w:sz w:val="24"/>
          <w:szCs w:val="24"/>
        </w:rPr>
      </w:pPr>
      <w:r w:rsidRPr="00DA51B1">
        <w:rPr>
          <w:rFonts w:ascii="Times New Roman" w:hAnsi="Times New Roman" w:cs="Times New Roman"/>
          <w:sz w:val="24"/>
          <w:szCs w:val="24"/>
        </w:rPr>
        <w:t xml:space="preserve">This centrality enables chemistry to serve as a conceptual bridge, facilitating interdisciplinary understanding and collaborative research. It provides a common framework through which </w:t>
      </w:r>
      <w:r w:rsidRPr="00DA51B1">
        <w:rPr>
          <w:rFonts w:ascii="Times New Roman" w:hAnsi="Times New Roman" w:cs="Times New Roman"/>
          <w:sz w:val="24"/>
          <w:szCs w:val="24"/>
        </w:rPr>
        <w:lastRenderedPageBreak/>
        <w:t>complex natural phenomena can be analyzed and potentially manipulated for human benefit (Holme et al., 2015).</w:t>
      </w:r>
    </w:p>
    <w:p w14:paraId="26F5AB68" w14:textId="77777777" w:rsidR="00DA51B1" w:rsidRPr="00DA51B1" w:rsidRDefault="00DA51B1" w:rsidP="008B2DBA">
      <w:pPr>
        <w:jc w:val="both"/>
        <w:rPr>
          <w:rFonts w:ascii="Times New Roman" w:hAnsi="Times New Roman" w:cs="Times New Roman"/>
          <w:sz w:val="24"/>
          <w:szCs w:val="24"/>
        </w:rPr>
      </w:pPr>
      <w:r w:rsidRPr="00DA51B1">
        <w:rPr>
          <w:rFonts w:ascii="Times New Roman" w:hAnsi="Times New Roman" w:cs="Times New Roman"/>
          <w:sz w:val="24"/>
          <w:szCs w:val="24"/>
        </w:rPr>
        <w:t>Chemistry's practical applications permeate virtually every sector of modern society. In healthcare, chemistry underpins drug discovery, development, and production. In agriculture, chemical knowledge drives fertilizer formulation, pesticide development, and food preservation. In energy, chemistry plays a central role in both conventional and renewable technologies. In materials science and manufacturing, chemical principles guide the development of plastics, ceramics, semiconductors, and numerous other essential materials (Whitesides &amp; Deutch, 2011).</w:t>
      </w:r>
    </w:p>
    <w:p w14:paraId="39BD8867" w14:textId="77777777" w:rsidR="00DA51B1" w:rsidRPr="00DA51B1" w:rsidRDefault="00DA51B1" w:rsidP="008B2DBA">
      <w:pPr>
        <w:jc w:val="both"/>
        <w:rPr>
          <w:rFonts w:ascii="Times New Roman" w:hAnsi="Times New Roman" w:cs="Times New Roman"/>
          <w:sz w:val="24"/>
          <w:szCs w:val="24"/>
        </w:rPr>
      </w:pPr>
      <w:r w:rsidRPr="00DA51B1">
        <w:rPr>
          <w:rFonts w:ascii="Times New Roman" w:hAnsi="Times New Roman" w:cs="Times New Roman"/>
          <w:sz w:val="24"/>
          <w:szCs w:val="24"/>
        </w:rPr>
        <w:t>Despite chemistry's importance, several challenges hinder effective education in this field. Many chemical concepts involve invisible entities and complex models, making them difficult to visualize and comprehend. Chemical calculations require mathematical skills that some students find challenging. Traditional teaching methods may emphasize memorization over conceptual understanding. Additionally, anxiety, low confidence, and negative perceptions about chemistry's difficulty can hinder learning (Seery, 2016).</w:t>
      </w:r>
    </w:p>
    <w:p w14:paraId="60C195C9" w14:textId="77777777" w:rsidR="00DA51B1" w:rsidRPr="00DA51B1" w:rsidRDefault="00DA51B1" w:rsidP="008B2DBA">
      <w:pPr>
        <w:jc w:val="both"/>
        <w:rPr>
          <w:rFonts w:ascii="Times New Roman" w:hAnsi="Times New Roman" w:cs="Times New Roman"/>
          <w:sz w:val="24"/>
          <w:szCs w:val="24"/>
        </w:rPr>
      </w:pPr>
      <w:r w:rsidRPr="00DA51B1">
        <w:rPr>
          <w:rFonts w:ascii="Times New Roman" w:hAnsi="Times New Roman" w:cs="Times New Roman"/>
          <w:sz w:val="24"/>
          <w:szCs w:val="24"/>
        </w:rPr>
        <w:t>International assessments such as PISA and TIMSS reveal significant disparities between nations in scientific literacy levels. High-performing nations typically emphasize conceptual understanding over rote memorization, incorporate regular practical work, and maintain high expectations for all students. Many developing nations struggle with limited resources and inadequate teacher preparation (Gurria, 2016).</w:t>
      </w:r>
    </w:p>
    <w:p w14:paraId="7D9C3BDF" w14:textId="77777777" w:rsidR="00DA51B1" w:rsidRPr="00DA51B1" w:rsidRDefault="00DA51B1" w:rsidP="008B2DBA">
      <w:pPr>
        <w:jc w:val="both"/>
        <w:rPr>
          <w:rFonts w:ascii="Times New Roman" w:hAnsi="Times New Roman" w:cs="Times New Roman"/>
          <w:sz w:val="24"/>
          <w:szCs w:val="24"/>
        </w:rPr>
      </w:pPr>
      <w:r w:rsidRPr="00DA51B1">
        <w:rPr>
          <w:rFonts w:ascii="Times New Roman" w:hAnsi="Times New Roman" w:cs="Times New Roman"/>
          <w:sz w:val="24"/>
          <w:szCs w:val="24"/>
        </w:rPr>
        <w:t>In West Africa, chemistry education faces region-specific challenges. The West African Examinations Council (WAEC) reports highlight several issues: students struggle with technical vocabulary, particularly in multilingual educational contexts; disconnections exist between intended, implemented, and assessed curricula; inadequate laboratory facilities limit practical experiences; and examination pressure often leads to memorization-focused teaching strategies (</w:t>
      </w:r>
      <w:proofErr w:type="spellStart"/>
      <w:r w:rsidRPr="00DA51B1">
        <w:rPr>
          <w:rFonts w:ascii="Times New Roman" w:hAnsi="Times New Roman" w:cs="Times New Roman"/>
          <w:sz w:val="24"/>
          <w:szCs w:val="24"/>
        </w:rPr>
        <w:t>Omilani</w:t>
      </w:r>
      <w:proofErr w:type="spellEnd"/>
      <w:r w:rsidRPr="00DA51B1">
        <w:rPr>
          <w:rFonts w:ascii="Times New Roman" w:hAnsi="Times New Roman" w:cs="Times New Roman"/>
          <w:sz w:val="24"/>
          <w:szCs w:val="24"/>
        </w:rPr>
        <w:t xml:space="preserve"> et al., 2016).</w:t>
      </w:r>
    </w:p>
    <w:p w14:paraId="6DB1E3E1" w14:textId="77777777" w:rsidR="00DA51B1" w:rsidRPr="00DA51B1" w:rsidRDefault="00DA51B1" w:rsidP="008B2DBA">
      <w:pPr>
        <w:jc w:val="both"/>
        <w:rPr>
          <w:rFonts w:ascii="Times New Roman" w:hAnsi="Times New Roman" w:cs="Times New Roman"/>
          <w:sz w:val="24"/>
          <w:szCs w:val="24"/>
        </w:rPr>
      </w:pPr>
      <w:r w:rsidRPr="00DA51B1">
        <w:rPr>
          <w:rFonts w:ascii="Times New Roman" w:hAnsi="Times New Roman" w:cs="Times New Roman"/>
          <w:sz w:val="24"/>
          <w:szCs w:val="24"/>
        </w:rPr>
        <w:t>Analysis of WAEC reports reveals consistent patterns in student performance. Students commonly struggle with stoichiometry and chemical calculations, demonstrating procedural knowledge without conceptual understanding. In organic chemistry, poor performance often stems from difficulties in understanding reaction mechanisms. Concepts in electrochemistry present significant challenges, possibly due to their interdisciplinary nature. Students frequently demonstrate limited ability to interpret experimental data or apply chemistry knowledge to novel situations (WAEC, 2019).</w:t>
      </w:r>
    </w:p>
    <w:p w14:paraId="060EE092" w14:textId="77777777" w:rsidR="00401735" w:rsidRDefault="00DA51B1" w:rsidP="008B2DBA">
      <w:pPr>
        <w:jc w:val="both"/>
        <w:rPr>
          <w:rFonts w:ascii="Times New Roman" w:hAnsi="Times New Roman" w:cs="Times New Roman"/>
          <w:sz w:val="24"/>
          <w:szCs w:val="24"/>
        </w:rPr>
      </w:pPr>
      <w:r w:rsidRPr="00DA51B1">
        <w:rPr>
          <w:rFonts w:ascii="Times New Roman" w:hAnsi="Times New Roman" w:cs="Times New Roman"/>
          <w:sz w:val="24"/>
          <w:szCs w:val="24"/>
        </w:rPr>
        <w:t>Research indicates that teaching methodologies significantly influence achievement patterns. Context-based learning improves engagement and conceptual understanding. Inquiry-based instruction enhances critical thinking skills and scientific reasoning abilities. Visualization techniques help students develop mental representations of submicroscopic phenomena. Despite evidence supporting these approaches, traditional methods emphasizing memorization remain prevalent in many contexts (Stains et al., 2018).</w:t>
      </w:r>
    </w:p>
    <w:p w14:paraId="05EDC0B5" w14:textId="46BAC470" w:rsidR="00DA51B1" w:rsidRPr="00DA51B1" w:rsidRDefault="00DA51B1" w:rsidP="008B2DBA">
      <w:pPr>
        <w:jc w:val="both"/>
        <w:rPr>
          <w:rFonts w:ascii="Times New Roman" w:hAnsi="Times New Roman" w:cs="Times New Roman"/>
          <w:sz w:val="24"/>
          <w:szCs w:val="24"/>
        </w:rPr>
      </w:pPr>
      <w:r w:rsidRPr="00DA51B1">
        <w:rPr>
          <w:rFonts w:ascii="Times New Roman" w:hAnsi="Times New Roman" w:cs="Times New Roman"/>
          <w:sz w:val="24"/>
          <w:szCs w:val="24"/>
        </w:rPr>
        <w:lastRenderedPageBreak/>
        <w:t>Test anxiety represents a complex psychological phenomenon characterized by excessive worry, fear, and physiological arousal in evaluative situations. While test anxiety affects education broadly, it holds particular significance in chemistry due to several factors: the cumulative nature of chemistry knowledge means anxiety-induced performance deficits can create cascading learning gaps; the precise nature of chemistry creates perfectionist pressures; and the public nature of laboratory work adds social evaluation anxiety (Chapell et al., 2015).</w:t>
      </w:r>
    </w:p>
    <w:p w14:paraId="0D068718" w14:textId="77777777" w:rsidR="00DA51B1" w:rsidRPr="00DA51B1" w:rsidRDefault="00DA51B1" w:rsidP="008B2DBA">
      <w:pPr>
        <w:jc w:val="both"/>
        <w:rPr>
          <w:rFonts w:ascii="Times New Roman" w:hAnsi="Times New Roman" w:cs="Times New Roman"/>
          <w:sz w:val="24"/>
          <w:szCs w:val="24"/>
        </w:rPr>
      </w:pPr>
      <w:r w:rsidRPr="00DA51B1">
        <w:rPr>
          <w:rFonts w:ascii="Times New Roman" w:hAnsi="Times New Roman" w:cs="Times New Roman"/>
          <w:sz w:val="24"/>
          <w:szCs w:val="24"/>
        </w:rPr>
        <w:t xml:space="preserve">Contemporary models conceptualize test anxiety as a multidimensional construct with cognitive, emotional, physiological, and behavioral components. Recent research has shifted from viewing test anxiety as uniformly detrimental to recognizing its potential facilitative effects at moderate levels (von der </w:t>
      </w:r>
      <w:proofErr w:type="spellStart"/>
      <w:r w:rsidRPr="00DA51B1">
        <w:rPr>
          <w:rFonts w:ascii="Times New Roman" w:hAnsi="Times New Roman" w:cs="Times New Roman"/>
          <w:sz w:val="24"/>
          <w:szCs w:val="24"/>
        </w:rPr>
        <w:t>Embse</w:t>
      </w:r>
      <w:proofErr w:type="spellEnd"/>
      <w:r w:rsidRPr="00DA51B1">
        <w:rPr>
          <w:rFonts w:ascii="Times New Roman" w:hAnsi="Times New Roman" w:cs="Times New Roman"/>
          <w:sz w:val="24"/>
          <w:szCs w:val="24"/>
        </w:rPr>
        <w:t xml:space="preserve"> et al., 2018).</w:t>
      </w:r>
    </w:p>
    <w:p w14:paraId="4E79650E" w14:textId="77777777" w:rsidR="00DA51B1" w:rsidRPr="00DA51B1" w:rsidRDefault="00DA51B1" w:rsidP="008B2DBA">
      <w:pPr>
        <w:jc w:val="both"/>
        <w:rPr>
          <w:rFonts w:ascii="Times New Roman" w:hAnsi="Times New Roman" w:cs="Times New Roman"/>
          <w:sz w:val="24"/>
          <w:szCs w:val="24"/>
        </w:rPr>
      </w:pPr>
      <w:r w:rsidRPr="00DA51B1">
        <w:rPr>
          <w:rFonts w:ascii="Times New Roman" w:hAnsi="Times New Roman" w:cs="Times New Roman"/>
          <w:sz w:val="24"/>
          <w:szCs w:val="24"/>
        </w:rPr>
        <w:t>Test anxiety manifests through various symptoms: physiological responses (increased heart rate, respiratory changes, gastrointestinal disturbances), cognitive manifestations (intrusive worried thoughts, difficulty concentrating, memory retrieval problems), emotional responses (feelings of dread, frustration, shame), and behavioral manifestations (procrastination, excessive checking, inefficient time management). Chemistry-specific manifestations include fears related to laboratory assessments, anxiety about calculations, and stress related to abstract concepts (</w:t>
      </w:r>
      <w:proofErr w:type="spellStart"/>
      <w:r w:rsidRPr="00DA51B1">
        <w:rPr>
          <w:rFonts w:ascii="Times New Roman" w:hAnsi="Times New Roman" w:cs="Times New Roman"/>
          <w:sz w:val="24"/>
          <w:szCs w:val="24"/>
        </w:rPr>
        <w:t>Segool</w:t>
      </w:r>
      <w:proofErr w:type="spellEnd"/>
      <w:r w:rsidRPr="00DA51B1">
        <w:rPr>
          <w:rFonts w:ascii="Times New Roman" w:hAnsi="Times New Roman" w:cs="Times New Roman"/>
          <w:sz w:val="24"/>
          <w:szCs w:val="24"/>
        </w:rPr>
        <w:t xml:space="preserve"> et al., 2015).</w:t>
      </w:r>
    </w:p>
    <w:p w14:paraId="2226B2EA" w14:textId="77777777" w:rsidR="00DA51B1" w:rsidRPr="00DA51B1" w:rsidRDefault="00DA51B1" w:rsidP="008B2DBA">
      <w:pPr>
        <w:jc w:val="both"/>
        <w:rPr>
          <w:rFonts w:ascii="Times New Roman" w:hAnsi="Times New Roman" w:cs="Times New Roman"/>
          <w:sz w:val="24"/>
          <w:szCs w:val="24"/>
        </w:rPr>
      </w:pPr>
      <w:r w:rsidRPr="00DA51B1">
        <w:rPr>
          <w:rFonts w:ascii="Times New Roman" w:hAnsi="Times New Roman" w:cs="Times New Roman"/>
          <w:sz w:val="24"/>
          <w:szCs w:val="24"/>
        </w:rPr>
        <w:t>Multiple factors contribute to test anxiety in chemistry education. Personal factors include previous negative experiences, perfectionist traits, and low confidence. Environmental factors include high-stakes assessment systems, competitive learning environments, and strict time limitations. Subject-specific factors include chemistry's abstract nature, mathematical demands, and specialized vocabulary (Núñez-Peña et al., 2016).</w:t>
      </w:r>
    </w:p>
    <w:p w14:paraId="41AA72E8" w14:textId="77777777" w:rsidR="00DA51B1" w:rsidRPr="00DA51B1" w:rsidRDefault="00DA51B1" w:rsidP="008B2DBA">
      <w:pPr>
        <w:jc w:val="both"/>
        <w:rPr>
          <w:rFonts w:ascii="Times New Roman" w:hAnsi="Times New Roman" w:cs="Times New Roman"/>
          <w:sz w:val="24"/>
          <w:szCs w:val="24"/>
        </w:rPr>
      </w:pPr>
      <w:r w:rsidRPr="00DA51B1">
        <w:rPr>
          <w:rFonts w:ascii="Times New Roman" w:hAnsi="Times New Roman" w:cs="Times New Roman"/>
          <w:sz w:val="24"/>
          <w:szCs w:val="24"/>
        </w:rPr>
        <w:t>Test anxiety significantly affects both immediate performance and long-term engagement with chemistry. High anxiety impairs performance by occupying working memory capacity, dividing attention, slowing cognitive processing, and impairing memory retrieval. Beyond immediate effects, test anxiety creates cascading consequences: students may avoid chemistry courses, develop diminished confidence, shift from deep learning to surface approaches, and ultimately exclude themselves from chemistry-related careers (Rozek et al., 2017).</w:t>
      </w:r>
    </w:p>
    <w:p w14:paraId="7CF53FC7" w14:textId="77777777" w:rsidR="00DA51B1" w:rsidRPr="00DA51B1" w:rsidRDefault="00DA51B1" w:rsidP="008B2DBA">
      <w:pPr>
        <w:jc w:val="both"/>
        <w:rPr>
          <w:rFonts w:ascii="Times New Roman" w:hAnsi="Times New Roman" w:cs="Times New Roman"/>
          <w:sz w:val="24"/>
          <w:szCs w:val="24"/>
        </w:rPr>
      </w:pPr>
      <w:r w:rsidRPr="00DA51B1">
        <w:rPr>
          <w:rFonts w:ascii="Times New Roman" w:hAnsi="Times New Roman" w:cs="Times New Roman"/>
          <w:sz w:val="24"/>
          <w:szCs w:val="24"/>
        </w:rPr>
        <w:t>Self-regulation encompasses the thoughts, feelings, and actions that individuals strategically employ to achieve personal goals. In educational contexts, self-regulated learning refers to the process whereby students systematically activate and sustain cognitions, affects, and behaviors oriented toward attaining learning objectives (Zimmerman &amp; Schunk, 2011).</w:t>
      </w:r>
    </w:p>
    <w:p w14:paraId="679CBFFC" w14:textId="77777777" w:rsidR="00DA51B1" w:rsidRPr="00DA51B1" w:rsidRDefault="00DA51B1" w:rsidP="008B2DBA">
      <w:pPr>
        <w:jc w:val="both"/>
        <w:rPr>
          <w:rFonts w:ascii="Times New Roman" w:hAnsi="Times New Roman" w:cs="Times New Roman"/>
          <w:sz w:val="24"/>
          <w:szCs w:val="24"/>
        </w:rPr>
      </w:pPr>
      <w:r w:rsidRPr="00DA51B1">
        <w:rPr>
          <w:rFonts w:ascii="Times New Roman" w:hAnsi="Times New Roman" w:cs="Times New Roman"/>
          <w:sz w:val="24"/>
          <w:szCs w:val="24"/>
        </w:rPr>
        <w:t>Several theoretical frameworks inform our understanding of self-regulation in chemistry education. The social cognitive perspective emphasizes the interaction between personal, behavioral, and environmental factors. Information processing models conceptualize self-regulation as executive control over cognitive processes. Volitional theories focus on how students protect learning intentions against distractions. Self-determination theory emphasizes the role of autonomy, competence, and relatedness in fostering internalized motivation (Ryan &amp; Deci, 2017).</w:t>
      </w:r>
    </w:p>
    <w:p w14:paraId="037E08C8" w14:textId="77777777" w:rsidR="00DA51B1" w:rsidRPr="00DA51B1" w:rsidRDefault="00DA51B1" w:rsidP="008B2DBA">
      <w:pPr>
        <w:jc w:val="both"/>
        <w:rPr>
          <w:rFonts w:ascii="Times New Roman" w:hAnsi="Times New Roman" w:cs="Times New Roman"/>
          <w:sz w:val="24"/>
          <w:szCs w:val="24"/>
        </w:rPr>
      </w:pPr>
      <w:r w:rsidRPr="00DA51B1">
        <w:rPr>
          <w:rFonts w:ascii="Times New Roman" w:hAnsi="Times New Roman" w:cs="Times New Roman"/>
          <w:sz w:val="24"/>
          <w:szCs w:val="24"/>
        </w:rPr>
        <w:lastRenderedPageBreak/>
        <w:t>Self-regulation in chemistry learning encompasses several interconnected components. Effective self-regulators establish specific learning goals, create hierarchical goal structures, and adjust goals based on feedback. They allocate sufficient time for challenging topics, schedule regular reviews, and create conducive study environments. They monitor comprehension, assess problem-solving approaches, and detect misconceptions. They select appropriate strategies for different types of chemistry knowledge and adapt these strategies as needed (</w:t>
      </w:r>
      <w:proofErr w:type="spellStart"/>
      <w:r w:rsidRPr="00DA51B1">
        <w:rPr>
          <w:rFonts w:ascii="Times New Roman" w:hAnsi="Times New Roman" w:cs="Times New Roman"/>
          <w:sz w:val="24"/>
          <w:szCs w:val="24"/>
        </w:rPr>
        <w:t>Dunlosky</w:t>
      </w:r>
      <w:proofErr w:type="spellEnd"/>
      <w:r w:rsidRPr="00DA51B1">
        <w:rPr>
          <w:rFonts w:ascii="Times New Roman" w:hAnsi="Times New Roman" w:cs="Times New Roman"/>
          <w:sz w:val="24"/>
          <w:szCs w:val="24"/>
        </w:rPr>
        <w:t xml:space="preserve"> et al., 2013).</w:t>
      </w:r>
    </w:p>
    <w:p w14:paraId="15239928" w14:textId="77777777" w:rsidR="00DA51B1" w:rsidRPr="00DA51B1" w:rsidRDefault="00DA51B1" w:rsidP="008B2DBA">
      <w:pPr>
        <w:jc w:val="both"/>
        <w:rPr>
          <w:rFonts w:ascii="Times New Roman" w:hAnsi="Times New Roman" w:cs="Times New Roman"/>
          <w:sz w:val="24"/>
          <w:szCs w:val="24"/>
        </w:rPr>
      </w:pPr>
      <w:r w:rsidRPr="00DA51B1">
        <w:rPr>
          <w:rFonts w:ascii="Times New Roman" w:hAnsi="Times New Roman" w:cs="Times New Roman"/>
          <w:sz w:val="24"/>
          <w:szCs w:val="24"/>
        </w:rPr>
        <w:t>Several factors make self-regulation particularly challenging in chemistry contexts. The abstract nature of chemistry complicates metacognitive monitoring. The subject requires integration across multiple representational levels (macroscopic, submicroscopic, and symbolic). The quantitative aspects create additional regulatory demands. Connecting laboratory experiences with theoretical principles requires sophisticated metacognitive reflection. The sequential nature of chemistry means early misconceptions create cascading comprehension problems (Cooper et al., 2015).</w:t>
      </w:r>
    </w:p>
    <w:p w14:paraId="11B7455D" w14:textId="77777777" w:rsidR="00DA51B1" w:rsidRPr="00DA51B1" w:rsidRDefault="00DA51B1" w:rsidP="008B2DBA">
      <w:pPr>
        <w:jc w:val="both"/>
        <w:rPr>
          <w:rFonts w:ascii="Times New Roman" w:hAnsi="Times New Roman" w:cs="Times New Roman"/>
          <w:sz w:val="24"/>
          <w:szCs w:val="24"/>
        </w:rPr>
      </w:pPr>
      <w:r w:rsidRPr="00DA51B1">
        <w:rPr>
          <w:rFonts w:ascii="Times New Roman" w:hAnsi="Times New Roman" w:cs="Times New Roman"/>
          <w:sz w:val="24"/>
          <w:szCs w:val="24"/>
        </w:rPr>
        <w:t>Research consistently demonstrates strong relationships between self-regulatory abilities and chemistry performance. Studies reveal positive correlations between self-regulatory skill and achievement, with correlation coefficients typically ranging from 0.3 to 0.6. These relationships appear stronger in chemistry than in some other subjects, possibly due to the discipline's complexity and cumulative nature (Richardson et al., 2015).</w:t>
      </w:r>
    </w:p>
    <w:p w14:paraId="3EECAC3E" w14:textId="77777777" w:rsidR="00DA51B1" w:rsidRPr="00DA51B1" w:rsidRDefault="00DA51B1" w:rsidP="008B2DBA">
      <w:pPr>
        <w:jc w:val="both"/>
        <w:rPr>
          <w:rFonts w:ascii="Times New Roman" w:hAnsi="Times New Roman" w:cs="Times New Roman"/>
          <w:sz w:val="24"/>
          <w:szCs w:val="24"/>
        </w:rPr>
      </w:pPr>
      <w:r w:rsidRPr="00DA51B1">
        <w:rPr>
          <w:rFonts w:ascii="Times New Roman" w:hAnsi="Times New Roman" w:cs="Times New Roman"/>
          <w:sz w:val="24"/>
          <w:szCs w:val="24"/>
        </w:rPr>
        <w:t>Of particular relevance to chemistry education is the interaction between self-regulation and test anxiety. Effective self-regulation can mitigate the negative effects of test anxiety through improved preparation, strategic test-taking approaches, and emotion management techniques. This bidirectional relationship suggests that interventions targeting either self-regulation or test anxiety may yield benefits for the other (</w:t>
      </w:r>
      <w:proofErr w:type="spellStart"/>
      <w:r w:rsidRPr="00DA51B1">
        <w:rPr>
          <w:rFonts w:ascii="Times New Roman" w:hAnsi="Times New Roman" w:cs="Times New Roman"/>
          <w:sz w:val="24"/>
          <w:szCs w:val="24"/>
        </w:rPr>
        <w:t>Bembenutty</w:t>
      </w:r>
      <w:proofErr w:type="spellEnd"/>
      <w:r w:rsidRPr="00DA51B1">
        <w:rPr>
          <w:rFonts w:ascii="Times New Roman" w:hAnsi="Times New Roman" w:cs="Times New Roman"/>
          <w:sz w:val="24"/>
          <w:szCs w:val="24"/>
        </w:rPr>
        <w:t>, 2016).</w:t>
      </w:r>
    </w:p>
    <w:p w14:paraId="34524A2E" w14:textId="77777777" w:rsidR="00DA51B1" w:rsidRPr="00DA51B1" w:rsidRDefault="00DA51B1" w:rsidP="008B2DBA">
      <w:pPr>
        <w:jc w:val="both"/>
        <w:rPr>
          <w:rFonts w:ascii="Times New Roman" w:hAnsi="Times New Roman" w:cs="Times New Roman"/>
          <w:sz w:val="24"/>
          <w:szCs w:val="24"/>
        </w:rPr>
      </w:pPr>
      <w:r w:rsidRPr="00DA51B1">
        <w:rPr>
          <w:rFonts w:ascii="Times New Roman" w:hAnsi="Times New Roman" w:cs="Times New Roman"/>
          <w:sz w:val="24"/>
          <w:szCs w:val="24"/>
        </w:rPr>
        <w:t>Interest in chemistry can be conceptualized as both a psychological state and a motivational variable that influences engagement, persistence, and achievement. Educational psychologists distinguish between situational interest (temporarily triggered by environmental stimuli) and individual interest (a relatively enduring predisposition to reengage with particular content). The development of sustained interest typically progresses through four phases: triggered situational interest, maintained situational interest, emerging individual interest, and well-developed individual interest (Hidi &amp; Renninger, 2016).</w:t>
      </w:r>
    </w:p>
    <w:p w14:paraId="53F49336" w14:textId="77777777" w:rsidR="00DA51B1" w:rsidRPr="00DA51B1" w:rsidRDefault="00DA51B1" w:rsidP="008B2DBA">
      <w:pPr>
        <w:jc w:val="both"/>
        <w:rPr>
          <w:rFonts w:ascii="Times New Roman" w:hAnsi="Times New Roman" w:cs="Times New Roman"/>
          <w:sz w:val="24"/>
          <w:szCs w:val="24"/>
        </w:rPr>
      </w:pPr>
      <w:r w:rsidRPr="00DA51B1">
        <w:rPr>
          <w:rFonts w:ascii="Times New Roman" w:hAnsi="Times New Roman" w:cs="Times New Roman"/>
          <w:sz w:val="24"/>
          <w:szCs w:val="24"/>
        </w:rPr>
        <w:t>Research indicates that interest in chemistry is influenced by multiple factors. Teaching methods significantly impact interest development, with students showing greater engagement during interactive demonstrations, cooperative learning activities, and technology-enhanced visualization. Contextualizing chemistry content through connections to everyday phenomena or current applications helps students recognize chemistry's relevance. Laboratory experiences play a crucial role in interest development by allowing students to engage personally with chemistry phenomena and experience discovery moments (King, 2017).</w:t>
      </w:r>
    </w:p>
    <w:p w14:paraId="50B7D8AE" w14:textId="77777777" w:rsidR="00A60889" w:rsidRDefault="00DA51B1" w:rsidP="008B2DBA">
      <w:pPr>
        <w:jc w:val="both"/>
        <w:rPr>
          <w:rFonts w:ascii="Times New Roman" w:hAnsi="Times New Roman" w:cs="Times New Roman"/>
          <w:sz w:val="24"/>
          <w:szCs w:val="24"/>
        </w:rPr>
      </w:pPr>
      <w:r w:rsidRPr="00DA51B1">
        <w:rPr>
          <w:rFonts w:ascii="Times New Roman" w:hAnsi="Times New Roman" w:cs="Times New Roman"/>
          <w:sz w:val="24"/>
          <w:szCs w:val="24"/>
        </w:rPr>
        <w:t xml:space="preserve">Social influences significantly impact chemistry interest development. Peer attitudes toward chemistry shape individual perceptions. Family values, particularly parental attitudes toward science, influence early chemistry interest. Cultural messages about who "belongs" in chemistry affect students' willingness to identify with the discipline. Media representations of chemistry and </w:t>
      </w:r>
      <w:r w:rsidRPr="00DA51B1">
        <w:rPr>
          <w:rFonts w:ascii="Times New Roman" w:hAnsi="Times New Roman" w:cs="Times New Roman"/>
          <w:sz w:val="24"/>
          <w:szCs w:val="24"/>
        </w:rPr>
        <w:lastRenderedPageBreak/>
        <w:t>chemists shape public perceptions, often emphasizing dangerous aspects rather than beneficial applications (Cheung, 2018).</w:t>
      </w:r>
    </w:p>
    <w:p w14:paraId="3C89C243" w14:textId="65BAF78D" w:rsidR="00DA51B1" w:rsidRPr="00DA51B1" w:rsidRDefault="00DA51B1" w:rsidP="008B2DBA">
      <w:pPr>
        <w:jc w:val="both"/>
        <w:rPr>
          <w:rFonts w:ascii="Times New Roman" w:hAnsi="Times New Roman" w:cs="Times New Roman"/>
          <w:sz w:val="24"/>
          <w:szCs w:val="24"/>
        </w:rPr>
      </w:pPr>
      <w:r w:rsidRPr="00DA51B1">
        <w:rPr>
          <w:rFonts w:ascii="Times New Roman" w:hAnsi="Times New Roman" w:cs="Times New Roman"/>
          <w:sz w:val="24"/>
          <w:szCs w:val="24"/>
        </w:rPr>
        <w:t>Addressing the interrelated challenges of test anxiety, self-regulation, and interest development requires integrated approaches. Effective chemistry education programs systematically address these aspects through curriculum design, pedagogical approaches, and assessment practices.</w:t>
      </w:r>
    </w:p>
    <w:p w14:paraId="0BEE5D22" w14:textId="77777777" w:rsidR="00DA51B1" w:rsidRPr="00DA51B1" w:rsidRDefault="00DA51B1" w:rsidP="008B2DBA">
      <w:pPr>
        <w:jc w:val="both"/>
        <w:rPr>
          <w:rFonts w:ascii="Times New Roman" w:hAnsi="Times New Roman" w:cs="Times New Roman"/>
          <w:sz w:val="24"/>
          <w:szCs w:val="24"/>
        </w:rPr>
      </w:pPr>
      <w:r w:rsidRPr="00DA51B1">
        <w:rPr>
          <w:rFonts w:ascii="Times New Roman" w:hAnsi="Times New Roman" w:cs="Times New Roman"/>
          <w:sz w:val="24"/>
          <w:szCs w:val="24"/>
        </w:rPr>
        <w:t>Curriculum design strategies include organizing content around core conceptual frameworks rather than isolated facts, incorporating real-world applications that demonstrate chemistry's relevance and utility, integrating laboratory experiences with theoretical concepts, providing scaffolded progression from concrete to abstract concepts, and including metacognitive prompts that encourage reflection on learning processes (Cooper &amp; Stowe, 2018).</w:t>
      </w:r>
    </w:p>
    <w:p w14:paraId="52779E31" w14:textId="77777777" w:rsidR="00DA51B1" w:rsidRPr="00DA51B1" w:rsidRDefault="00DA51B1" w:rsidP="008B2DBA">
      <w:pPr>
        <w:jc w:val="both"/>
        <w:rPr>
          <w:rFonts w:ascii="Times New Roman" w:hAnsi="Times New Roman" w:cs="Times New Roman"/>
          <w:sz w:val="24"/>
          <w:szCs w:val="24"/>
        </w:rPr>
      </w:pPr>
      <w:r w:rsidRPr="00DA51B1">
        <w:rPr>
          <w:rFonts w:ascii="Times New Roman" w:hAnsi="Times New Roman" w:cs="Times New Roman"/>
          <w:sz w:val="24"/>
          <w:szCs w:val="24"/>
        </w:rPr>
        <w:t>Pedagogical approaches that support comprehensive improvement include modeling scientific thinking and problem-solving strategies, employing multiple representational formats (macroscopic, submicroscopic, symbolic), incorporating regular formative assessment with constructive feedback, fostering collaborative learning communities, and differentiating instruction to address diverse learning needs (</w:t>
      </w:r>
      <w:proofErr w:type="spellStart"/>
      <w:r w:rsidRPr="00DA51B1">
        <w:rPr>
          <w:rFonts w:ascii="Times New Roman" w:hAnsi="Times New Roman" w:cs="Times New Roman"/>
          <w:sz w:val="24"/>
          <w:szCs w:val="24"/>
        </w:rPr>
        <w:t>Talanquer</w:t>
      </w:r>
      <w:proofErr w:type="spellEnd"/>
      <w:r w:rsidRPr="00DA51B1">
        <w:rPr>
          <w:rFonts w:ascii="Times New Roman" w:hAnsi="Times New Roman" w:cs="Times New Roman"/>
          <w:sz w:val="24"/>
          <w:szCs w:val="24"/>
        </w:rPr>
        <w:t>, 2017).</w:t>
      </w:r>
    </w:p>
    <w:p w14:paraId="51FCAA85" w14:textId="77777777" w:rsidR="00DA51B1" w:rsidRPr="00DA51B1" w:rsidRDefault="00DA51B1" w:rsidP="008B2DBA">
      <w:pPr>
        <w:jc w:val="both"/>
        <w:rPr>
          <w:rFonts w:ascii="Times New Roman" w:hAnsi="Times New Roman" w:cs="Times New Roman"/>
          <w:sz w:val="24"/>
          <w:szCs w:val="24"/>
        </w:rPr>
      </w:pPr>
      <w:r w:rsidRPr="00DA51B1">
        <w:rPr>
          <w:rFonts w:ascii="Times New Roman" w:hAnsi="Times New Roman" w:cs="Times New Roman"/>
          <w:sz w:val="24"/>
          <w:szCs w:val="24"/>
        </w:rPr>
        <w:t>Assessment practices must align with educational goals while minimizing detrimental anxiety effects. Effective practices include using various assessment formats to accommodate different learning styles, incorporating low-stakes assessment opportunities before high-stakes evaluations, providing clear grading criteria and exemplars, designing assessments that emphasize conceptual understanding over mere recall, and teaching explicit test-taking strategies that enhance performance under pressure (Schultz et al., 2018).</w:t>
      </w:r>
    </w:p>
    <w:p w14:paraId="15C7ED17" w14:textId="77777777" w:rsidR="00DA51B1" w:rsidRPr="00DA51B1" w:rsidRDefault="00DA51B1" w:rsidP="008B2DBA">
      <w:pPr>
        <w:jc w:val="both"/>
        <w:rPr>
          <w:rFonts w:ascii="Times New Roman" w:hAnsi="Times New Roman" w:cs="Times New Roman"/>
          <w:sz w:val="24"/>
          <w:szCs w:val="24"/>
        </w:rPr>
      </w:pPr>
      <w:r w:rsidRPr="00DA51B1">
        <w:rPr>
          <w:rFonts w:ascii="Times New Roman" w:hAnsi="Times New Roman" w:cs="Times New Roman"/>
          <w:sz w:val="24"/>
          <w:szCs w:val="24"/>
        </w:rPr>
        <w:t>Chemistry education faces interconnected challenges related to test anxiety, self-regulation, and interest development. Addressing these challenges requires integrated approaches that consider cognitive, emotional, and motivational aspects of learning. Effective interventions must be contextually sensitive, recognizing the unique characteristics of chemistry as a discipline and the diverse needs of student populations.</w:t>
      </w:r>
    </w:p>
    <w:p w14:paraId="31DF44E7" w14:textId="77777777" w:rsidR="00DA51B1" w:rsidRPr="00DA51B1" w:rsidRDefault="00DA51B1" w:rsidP="008B2DBA">
      <w:pPr>
        <w:jc w:val="both"/>
        <w:rPr>
          <w:rFonts w:ascii="Times New Roman" w:hAnsi="Times New Roman" w:cs="Times New Roman"/>
          <w:sz w:val="24"/>
          <w:szCs w:val="24"/>
        </w:rPr>
      </w:pPr>
      <w:r w:rsidRPr="00DA51B1">
        <w:rPr>
          <w:rFonts w:ascii="Times New Roman" w:hAnsi="Times New Roman" w:cs="Times New Roman"/>
          <w:sz w:val="24"/>
          <w:szCs w:val="24"/>
        </w:rPr>
        <w:t>Future research directions should focus on developing and validating interventions that simultaneously address multiple factors affecting chemistry learning. Particularly promising areas include technology-enhanced learning environments that provide personalized support, integrated instructional approaches that simultaneously develop content knowledge and self-regulatory skills, and assessment systems that balance accountability with support for learning.</w:t>
      </w:r>
    </w:p>
    <w:p w14:paraId="067036CF" w14:textId="519D35EE" w:rsidR="00DD7416" w:rsidRDefault="00DA51B1" w:rsidP="008B2DBA">
      <w:pPr>
        <w:jc w:val="both"/>
        <w:rPr>
          <w:rFonts w:ascii="Times New Roman" w:hAnsi="Times New Roman" w:cs="Times New Roman"/>
          <w:sz w:val="24"/>
          <w:szCs w:val="24"/>
        </w:rPr>
      </w:pPr>
      <w:r w:rsidRPr="00DA51B1">
        <w:rPr>
          <w:rFonts w:ascii="Times New Roman" w:hAnsi="Times New Roman" w:cs="Times New Roman"/>
          <w:sz w:val="24"/>
          <w:szCs w:val="24"/>
        </w:rPr>
        <w:t>By addressing these challenges comprehensively, chemistry education can better fulfill its potential to develop scientifically literate citizens capable of engaging with chemistry-related issues in their personal and professional lives. Given chemistry's central role in addressing global challenges from climate change to healthcare, improving chemistry education represents not merely an academic concern but a societal imperative with far-reaching implications.</w:t>
      </w:r>
    </w:p>
    <w:p w14:paraId="5DAC717C" w14:textId="77777777" w:rsidR="00841560" w:rsidRDefault="00841560" w:rsidP="008B2DBA">
      <w:pPr>
        <w:jc w:val="both"/>
        <w:rPr>
          <w:rFonts w:ascii="Times New Roman" w:hAnsi="Times New Roman" w:cs="Times New Roman"/>
          <w:sz w:val="24"/>
          <w:szCs w:val="24"/>
        </w:rPr>
      </w:pPr>
    </w:p>
    <w:p w14:paraId="32B3F8CF" w14:textId="77777777" w:rsidR="00841560" w:rsidRDefault="00841560" w:rsidP="00841560">
      <w:pPr>
        <w:jc w:val="both"/>
        <w:rPr>
          <w:rFonts w:ascii="Times New Roman" w:hAnsi="Times New Roman" w:cs="Times New Roman"/>
          <w:b/>
          <w:bCs/>
          <w:sz w:val="24"/>
          <w:szCs w:val="24"/>
        </w:rPr>
      </w:pPr>
    </w:p>
    <w:p w14:paraId="6D45C8AA" w14:textId="2930081D" w:rsidR="00841560" w:rsidRDefault="00DD0971" w:rsidP="00841560">
      <w:pPr>
        <w:jc w:val="both"/>
        <w:rPr>
          <w:rFonts w:ascii="Times New Roman" w:hAnsi="Times New Roman" w:cs="Times New Roman"/>
          <w:b/>
          <w:bCs/>
          <w:sz w:val="24"/>
          <w:szCs w:val="24"/>
        </w:rPr>
      </w:pPr>
      <w:r>
        <w:rPr>
          <w:rFonts w:ascii="Times New Roman" w:hAnsi="Times New Roman" w:cs="Times New Roman"/>
          <w:b/>
          <w:bCs/>
          <w:sz w:val="24"/>
          <w:szCs w:val="24"/>
        </w:rPr>
        <w:lastRenderedPageBreak/>
        <w:t>STATEMENT OF THE PROBLEM</w:t>
      </w:r>
    </w:p>
    <w:p w14:paraId="7ADCD676" w14:textId="77777777" w:rsidR="00841560" w:rsidRPr="00841560" w:rsidRDefault="00841560" w:rsidP="00841560">
      <w:pPr>
        <w:jc w:val="both"/>
        <w:rPr>
          <w:rFonts w:ascii="Times New Roman" w:hAnsi="Times New Roman" w:cs="Times New Roman"/>
          <w:sz w:val="24"/>
          <w:szCs w:val="24"/>
        </w:rPr>
      </w:pPr>
      <w:r w:rsidRPr="00841560">
        <w:rPr>
          <w:rFonts w:ascii="Times New Roman" w:hAnsi="Times New Roman" w:cs="Times New Roman"/>
          <w:sz w:val="24"/>
          <w:szCs w:val="24"/>
        </w:rPr>
        <w:t>Chemistry education faces significant challenges despite the discipline's central importance in modern society. Students often perceive chemistry as abstract, complex, and disconnected from everyday experiences, leading to diminished interest, reduced engagement, and poor academic performance.</w:t>
      </w:r>
    </w:p>
    <w:p w14:paraId="051C6F3F" w14:textId="77777777" w:rsidR="00841560" w:rsidRPr="00841560" w:rsidRDefault="00841560" w:rsidP="00841560">
      <w:pPr>
        <w:jc w:val="both"/>
        <w:rPr>
          <w:rFonts w:ascii="Times New Roman" w:hAnsi="Times New Roman" w:cs="Times New Roman"/>
          <w:sz w:val="24"/>
          <w:szCs w:val="24"/>
        </w:rPr>
      </w:pPr>
      <w:r w:rsidRPr="00841560">
        <w:rPr>
          <w:rFonts w:ascii="Times New Roman" w:hAnsi="Times New Roman" w:cs="Times New Roman"/>
          <w:sz w:val="24"/>
          <w:szCs w:val="24"/>
        </w:rPr>
        <w:t>Three interconnected factors compound these difficulties: test anxiety, self-regulation challenges, and interest development. Test anxiety in chemistry is particularly problematic due to the subject's cumulative nature, precision requirements, and public laboratory work. Self-regulation is especially challenging in chemistry due to the abstract concepts, multiple representational levels, and quantitative demands. Meanwhile, interest development in chemistry is hampered by teaching methods that fail to connect content to real-world applications and social influences that shape perceptions of who "belongs" in the discipline.</w:t>
      </w:r>
    </w:p>
    <w:p w14:paraId="2EE47976" w14:textId="77777777" w:rsidR="00841560" w:rsidRPr="00841560" w:rsidRDefault="00841560" w:rsidP="00841560">
      <w:pPr>
        <w:jc w:val="both"/>
        <w:rPr>
          <w:rFonts w:ascii="Times New Roman" w:hAnsi="Times New Roman" w:cs="Times New Roman"/>
          <w:sz w:val="24"/>
          <w:szCs w:val="24"/>
        </w:rPr>
      </w:pPr>
      <w:r w:rsidRPr="00841560">
        <w:rPr>
          <w:rFonts w:ascii="Times New Roman" w:hAnsi="Times New Roman" w:cs="Times New Roman"/>
          <w:sz w:val="24"/>
          <w:szCs w:val="24"/>
        </w:rPr>
        <w:t>These challenges create a cycle where anxiety impairs performance, poor performance reduces interest, and diminished interest weakens motivation for self-regulation. This pattern not only affects immediate academic outcomes but also has long-term consequences, with students avoiding chemistry courses and excluding themselves from chemistry-related careers despite the field's critical importance across sectors including healthcare, agriculture, energy, and manufacturing.</w:t>
      </w:r>
    </w:p>
    <w:p w14:paraId="0E1478D7" w14:textId="77777777" w:rsidR="00841560" w:rsidRDefault="00841560" w:rsidP="00841560">
      <w:pPr>
        <w:jc w:val="both"/>
        <w:rPr>
          <w:rFonts w:ascii="Times New Roman" w:hAnsi="Times New Roman" w:cs="Times New Roman"/>
          <w:sz w:val="24"/>
          <w:szCs w:val="24"/>
        </w:rPr>
      </w:pPr>
      <w:r w:rsidRPr="00841560">
        <w:rPr>
          <w:rFonts w:ascii="Times New Roman" w:hAnsi="Times New Roman" w:cs="Times New Roman"/>
          <w:sz w:val="24"/>
          <w:szCs w:val="24"/>
        </w:rPr>
        <w:t>The educational implications extend beyond individual student outcomes to broader societal concerns. Nations with deficiencies in chemistry education face potential limitations in technological innovation, industrial competitiveness, and effective responses to pressing global challenges like climate change and healthcare access. Addressing these interconnected challenges requires integrated approaches that simultaneously consider cognitive, emotional, and motivational aspects of chemistry learning.</w:t>
      </w:r>
    </w:p>
    <w:p w14:paraId="6939C49A" w14:textId="38AF3392" w:rsidR="00D21515" w:rsidRDefault="00D21515" w:rsidP="00841560">
      <w:pPr>
        <w:jc w:val="both"/>
        <w:rPr>
          <w:rFonts w:ascii="Times New Roman" w:hAnsi="Times New Roman" w:cs="Times New Roman"/>
          <w:b/>
          <w:bCs/>
          <w:sz w:val="24"/>
          <w:szCs w:val="24"/>
        </w:rPr>
      </w:pPr>
    </w:p>
    <w:p w14:paraId="02486CD3" w14:textId="034327A6" w:rsidR="00D21515" w:rsidRDefault="00120FD7" w:rsidP="00841560">
      <w:pPr>
        <w:jc w:val="both"/>
        <w:rPr>
          <w:rFonts w:ascii="Times New Roman" w:hAnsi="Times New Roman" w:cs="Times New Roman"/>
          <w:b/>
          <w:bCs/>
          <w:sz w:val="24"/>
          <w:szCs w:val="24"/>
        </w:rPr>
      </w:pPr>
      <w:r>
        <w:rPr>
          <w:rFonts w:ascii="Times New Roman" w:hAnsi="Times New Roman" w:cs="Times New Roman"/>
          <w:b/>
          <w:bCs/>
          <w:sz w:val="24"/>
          <w:szCs w:val="24"/>
        </w:rPr>
        <w:t>SIGNIFICANCE</w:t>
      </w:r>
      <w:r w:rsidR="00D21515">
        <w:rPr>
          <w:rFonts w:ascii="Times New Roman" w:hAnsi="Times New Roman" w:cs="Times New Roman"/>
          <w:b/>
          <w:bCs/>
          <w:sz w:val="24"/>
          <w:szCs w:val="24"/>
        </w:rPr>
        <w:t xml:space="preserve"> OF THE STUDY </w:t>
      </w:r>
    </w:p>
    <w:p w14:paraId="7E40645F" w14:textId="77777777" w:rsidR="008B182C" w:rsidRPr="008B182C" w:rsidRDefault="008B182C" w:rsidP="008B182C">
      <w:pPr>
        <w:ind w:left="360"/>
        <w:jc w:val="both"/>
        <w:rPr>
          <w:rFonts w:ascii="Times New Roman" w:hAnsi="Times New Roman" w:cs="Times New Roman"/>
          <w:sz w:val="24"/>
          <w:szCs w:val="24"/>
        </w:rPr>
      </w:pPr>
    </w:p>
    <w:p w14:paraId="61D070C4" w14:textId="77777777" w:rsidR="00D21515" w:rsidRPr="00841560" w:rsidRDefault="00D21515" w:rsidP="00F91C9C">
      <w:pPr>
        <w:jc w:val="both"/>
        <w:rPr>
          <w:rFonts w:ascii="Times New Roman" w:hAnsi="Times New Roman" w:cs="Times New Roman"/>
          <w:sz w:val="24"/>
          <w:szCs w:val="24"/>
        </w:rPr>
      </w:pPr>
    </w:p>
    <w:p w14:paraId="741B060A" w14:textId="77777777" w:rsidR="00841560" w:rsidRPr="00DD0971" w:rsidRDefault="00841560" w:rsidP="00F91C9C">
      <w:pPr>
        <w:jc w:val="both"/>
        <w:rPr>
          <w:rFonts w:ascii="Times New Roman" w:hAnsi="Times New Roman" w:cs="Times New Roman"/>
          <w:b/>
          <w:bCs/>
          <w:sz w:val="24"/>
          <w:szCs w:val="24"/>
        </w:rPr>
      </w:pPr>
    </w:p>
    <w:p w14:paraId="10A94DA4" w14:textId="77777777" w:rsidR="00DD7416" w:rsidRPr="008B2DBA" w:rsidRDefault="00DD7416" w:rsidP="00F91C9C">
      <w:pPr>
        <w:jc w:val="both"/>
        <w:rPr>
          <w:rFonts w:ascii="Times New Roman" w:hAnsi="Times New Roman" w:cs="Times New Roman"/>
          <w:sz w:val="24"/>
          <w:szCs w:val="24"/>
        </w:rPr>
      </w:pPr>
    </w:p>
    <w:sectPr w:rsidR="00DD7416" w:rsidRPr="008B2DB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2C0BAC"/>
    <w:multiLevelType w:val="multilevel"/>
    <w:tmpl w:val="EAC05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AF73F4"/>
    <w:multiLevelType w:val="hybridMultilevel"/>
    <w:tmpl w:val="ABD201EA"/>
    <w:lvl w:ilvl="0" w:tplc="D3982C3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C1D4585"/>
    <w:multiLevelType w:val="multilevel"/>
    <w:tmpl w:val="A2BC94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8306215">
    <w:abstractNumId w:val="0"/>
  </w:num>
  <w:num w:numId="2" w16cid:durableId="1410232023">
    <w:abstractNumId w:val="2"/>
  </w:num>
  <w:num w:numId="3" w16cid:durableId="15384714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F35"/>
    <w:rsid w:val="000115B2"/>
    <w:rsid w:val="000255DE"/>
    <w:rsid w:val="00054BB9"/>
    <w:rsid w:val="000A268F"/>
    <w:rsid w:val="000D456B"/>
    <w:rsid w:val="00120FD7"/>
    <w:rsid w:val="001A05D1"/>
    <w:rsid w:val="001D47BF"/>
    <w:rsid w:val="00206F63"/>
    <w:rsid w:val="002143D6"/>
    <w:rsid w:val="00247848"/>
    <w:rsid w:val="00307069"/>
    <w:rsid w:val="003367AB"/>
    <w:rsid w:val="00341BCE"/>
    <w:rsid w:val="003F5A84"/>
    <w:rsid w:val="00401735"/>
    <w:rsid w:val="00463BFB"/>
    <w:rsid w:val="00546A36"/>
    <w:rsid w:val="006212C3"/>
    <w:rsid w:val="006408B1"/>
    <w:rsid w:val="00726858"/>
    <w:rsid w:val="007C5FCB"/>
    <w:rsid w:val="007E380F"/>
    <w:rsid w:val="008152D1"/>
    <w:rsid w:val="00820295"/>
    <w:rsid w:val="00841560"/>
    <w:rsid w:val="008A5BED"/>
    <w:rsid w:val="008B182C"/>
    <w:rsid w:val="008B2DBA"/>
    <w:rsid w:val="008F492C"/>
    <w:rsid w:val="00900AC5"/>
    <w:rsid w:val="00921E66"/>
    <w:rsid w:val="00923C20"/>
    <w:rsid w:val="00966A99"/>
    <w:rsid w:val="00992BDB"/>
    <w:rsid w:val="00A11F35"/>
    <w:rsid w:val="00A60889"/>
    <w:rsid w:val="00A62CE0"/>
    <w:rsid w:val="00AB0CB9"/>
    <w:rsid w:val="00B06F3B"/>
    <w:rsid w:val="00B632E7"/>
    <w:rsid w:val="00B85F0C"/>
    <w:rsid w:val="00C7455F"/>
    <w:rsid w:val="00C80D5E"/>
    <w:rsid w:val="00CB37F0"/>
    <w:rsid w:val="00D21515"/>
    <w:rsid w:val="00D91752"/>
    <w:rsid w:val="00D91B93"/>
    <w:rsid w:val="00DA51B1"/>
    <w:rsid w:val="00DD0971"/>
    <w:rsid w:val="00DD7416"/>
    <w:rsid w:val="00E175B4"/>
    <w:rsid w:val="00E21BB9"/>
    <w:rsid w:val="00EC4A44"/>
    <w:rsid w:val="00EE017E"/>
    <w:rsid w:val="00F91C9C"/>
    <w:rsid w:val="00F96B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E4EFA"/>
  <w15:chartTrackingRefBased/>
  <w15:docId w15:val="{400EE9A5-D294-4B2D-B86C-0C2BFC32C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1F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1F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1F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1F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1F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1F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1F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1F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1F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1F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1F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1F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1F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1F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1F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1F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1F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1F35"/>
    <w:rPr>
      <w:rFonts w:eastAsiaTheme="majorEastAsia" w:cstheme="majorBidi"/>
      <w:color w:val="272727" w:themeColor="text1" w:themeTint="D8"/>
    </w:rPr>
  </w:style>
  <w:style w:type="paragraph" w:styleId="Title">
    <w:name w:val="Title"/>
    <w:basedOn w:val="Normal"/>
    <w:next w:val="Normal"/>
    <w:link w:val="TitleChar"/>
    <w:uiPriority w:val="10"/>
    <w:qFormat/>
    <w:rsid w:val="00A11F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1F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1F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1F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1F35"/>
    <w:pPr>
      <w:spacing w:before="160"/>
      <w:jc w:val="center"/>
    </w:pPr>
    <w:rPr>
      <w:i/>
      <w:iCs/>
      <w:color w:val="404040" w:themeColor="text1" w:themeTint="BF"/>
    </w:rPr>
  </w:style>
  <w:style w:type="character" w:customStyle="1" w:styleId="QuoteChar">
    <w:name w:val="Quote Char"/>
    <w:basedOn w:val="DefaultParagraphFont"/>
    <w:link w:val="Quote"/>
    <w:uiPriority w:val="29"/>
    <w:rsid w:val="00A11F35"/>
    <w:rPr>
      <w:i/>
      <w:iCs/>
      <w:color w:val="404040" w:themeColor="text1" w:themeTint="BF"/>
    </w:rPr>
  </w:style>
  <w:style w:type="paragraph" w:styleId="ListParagraph">
    <w:name w:val="List Paragraph"/>
    <w:basedOn w:val="Normal"/>
    <w:uiPriority w:val="34"/>
    <w:qFormat/>
    <w:rsid w:val="00A11F35"/>
    <w:pPr>
      <w:ind w:left="720"/>
      <w:contextualSpacing/>
    </w:pPr>
  </w:style>
  <w:style w:type="character" w:styleId="IntenseEmphasis">
    <w:name w:val="Intense Emphasis"/>
    <w:basedOn w:val="DefaultParagraphFont"/>
    <w:uiPriority w:val="21"/>
    <w:qFormat/>
    <w:rsid w:val="00A11F35"/>
    <w:rPr>
      <w:i/>
      <w:iCs/>
      <w:color w:val="2F5496" w:themeColor="accent1" w:themeShade="BF"/>
    </w:rPr>
  </w:style>
  <w:style w:type="paragraph" w:styleId="IntenseQuote">
    <w:name w:val="Intense Quote"/>
    <w:basedOn w:val="Normal"/>
    <w:next w:val="Normal"/>
    <w:link w:val="IntenseQuoteChar"/>
    <w:uiPriority w:val="30"/>
    <w:qFormat/>
    <w:rsid w:val="00A11F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1F35"/>
    <w:rPr>
      <w:i/>
      <w:iCs/>
      <w:color w:val="2F5496" w:themeColor="accent1" w:themeShade="BF"/>
    </w:rPr>
  </w:style>
  <w:style w:type="character" w:styleId="IntenseReference">
    <w:name w:val="Intense Reference"/>
    <w:basedOn w:val="DefaultParagraphFont"/>
    <w:uiPriority w:val="32"/>
    <w:qFormat/>
    <w:rsid w:val="00A11F3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887747">
      <w:bodyDiv w:val="1"/>
      <w:marLeft w:val="0"/>
      <w:marRight w:val="0"/>
      <w:marTop w:val="0"/>
      <w:marBottom w:val="0"/>
      <w:divBdr>
        <w:top w:val="none" w:sz="0" w:space="0" w:color="auto"/>
        <w:left w:val="none" w:sz="0" w:space="0" w:color="auto"/>
        <w:bottom w:val="none" w:sz="0" w:space="0" w:color="auto"/>
        <w:right w:val="none" w:sz="0" w:space="0" w:color="auto"/>
      </w:divBdr>
    </w:div>
    <w:div w:id="228464659">
      <w:bodyDiv w:val="1"/>
      <w:marLeft w:val="0"/>
      <w:marRight w:val="0"/>
      <w:marTop w:val="0"/>
      <w:marBottom w:val="0"/>
      <w:divBdr>
        <w:top w:val="none" w:sz="0" w:space="0" w:color="auto"/>
        <w:left w:val="none" w:sz="0" w:space="0" w:color="auto"/>
        <w:bottom w:val="none" w:sz="0" w:space="0" w:color="auto"/>
        <w:right w:val="none" w:sz="0" w:space="0" w:color="auto"/>
      </w:divBdr>
    </w:div>
    <w:div w:id="504369538">
      <w:bodyDiv w:val="1"/>
      <w:marLeft w:val="0"/>
      <w:marRight w:val="0"/>
      <w:marTop w:val="0"/>
      <w:marBottom w:val="0"/>
      <w:divBdr>
        <w:top w:val="none" w:sz="0" w:space="0" w:color="auto"/>
        <w:left w:val="none" w:sz="0" w:space="0" w:color="auto"/>
        <w:bottom w:val="none" w:sz="0" w:space="0" w:color="auto"/>
        <w:right w:val="none" w:sz="0" w:space="0" w:color="auto"/>
      </w:divBdr>
    </w:div>
    <w:div w:id="714933854">
      <w:bodyDiv w:val="1"/>
      <w:marLeft w:val="0"/>
      <w:marRight w:val="0"/>
      <w:marTop w:val="0"/>
      <w:marBottom w:val="0"/>
      <w:divBdr>
        <w:top w:val="none" w:sz="0" w:space="0" w:color="auto"/>
        <w:left w:val="none" w:sz="0" w:space="0" w:color="auto"/>
        <w:bottom w:val="none" w:sz="0" w:space="0" w:color="auto"/>
        <w:right w:val="none" w:sz="0" w:space="0" w:color="auto"/>
      </w:divBdr>
    </w:div>
    <w:div w:id="772896353">
      <w:bodyDiv w:val="1"/>
      <w:marLeft w:val="0"/>
      <w:marRight w:val="0"/>
      <w:marTop w:val="0"/>
      <w:marBottom w:val="0"/>
      <w:divBdr>
        <w:top w:val="none" w:sz="0" w:space="0" w:color="auto"/>
        <w:left w:val="none" w:sz="0" w:space="0" w:color="auto"/>
        <w:bottom w:val="none" w:sz="0" w:space="0" w:color="auto"/>
        <w:right w:val="none" w:sz="0" w:space="0" w:color="auto"/>
      </w:divBdr>
    </w:div>
    <w:div w:id="1038969018">
      <w:bodyDiv w:val="1"/>
      <w:marLeft w:val="0"/>
      <w:marRight w:val="0"/>
      <w:marTop w:val="0"/>
      <w:marBottom w:val="0"/>
      <w:divBdr>
        <w:top w:val="none" w:sz="0" w:space="0" w:color="auto"/>
        <w:left w:val="none" w:sz="0" w:space="0" w:color="auto"/>
        <w:bottom w:val="none" w:sz="0" w:space="0" w:color="auto"/>
        <w:right w:val="none" w:sz="0" w:space="0" w:color="auto"/>
      </w:divBdr>
    </w:div>
    <w:div w:id="1116169945">
      <w:bodyDiv w:val="1"/>
      <w:marLeft w:val="0"/>
      <w:marRight w:val="0"/>
      <w:marTop w:val="0"/>
      <w:marBottom w:val="0"/>
      <w:divBdr>
        <w:top w:val="none" w:sz="0" w:space="0" w:color="auto"/>
        <w:left w:val="none" w:sz="0" w:space="0" w:color="auto"/>
        <w:bottom w:val="none" w:sz="0" w:space="0" w:color="auto"/>
        <w:right w:val="none" w:sz="0" w:space="0" w:color="auto"/>
      </w:divBdr>
    </w:div>
    <w:div w:id="1299720260">
      <w:bodyDiv w:val="1"/>
      <w:marLeft w:val="0"/>
      <w:marRight w:val="0"/>
      <w:marTop w:val="0"/>
      <w:marBottom w:val="0"/>
      <w:divBdr>
        <w:top w:val="none" w:sz="0" w:space="0" w:color="auto"/>
        <w:left w:val="none" w:sz="0" w:space="0" w:color="auto"/>
        <w:bottom w:val="none" w:sz="0" w:space="0" w:color="auto"/>
        <w:right w:val="none" w:sz="0" w:space="0" w:color="auto"/>
      </w:divBdr>
    </w:div>
    <w:div w:id="1641224565">
      <w:bodyDiv w:val="1"/>
      <w:marLeft w:val="0"/>
      <w:marRight w:val="0"/>
      <w:marTop w:val="0"/>
      <w:marBottom w:val="0"/>
      <w:divBdr>
        <w:top w:val="none" w:sz="0" w:space="0" w:color="auto"/>
        <w:left w:val="none" w:sz="0" w:space="0" w:color="auto"/>
        <w:bottom w:val="none" w:sz="0" w:space="0" w:color="auto"/>
        <w:right w:val="none" w:sz="0" w:space="0" w:color="auto"/>
      </w:divBdr>
    </w:div>
    <w:div w:id="1810591292">
      <w:bodyDiv w:val="1"/>
      <w:marLeft w:val="0"/>
      <w:marRight w:val="0"/>
      <w:marTop w:val="0"/>
      <w:marBottom w:val="0"/>
      <w:divBdr>
        <w:top w:val="none" w:sz="0" w:space="0" w:color="auto"/>
        <w:left w:val="none" w:sz="0" w:space="0" w:color="auto"/>
        <w:bottom w:val="none" w:sz="0" w:space="0" w:color="auto"/>
        <w:right w:val="none" w:sz="0" w:space="0" w:color="auto"/>
      </w:divBdr>
    </w:div>
    <w:div w:id="1846896880">
      <w:bodyDiv w:val="1"/>
      <w:marLeft w:val="0"/>
      <w:marRight w:val="0"/>
      <w:marTop w:val="0"/>
      <w:marBottom w:val="0"/>
      <w:divBdr>
        <w:top w:val="none" w:sz="0" w:space="0" w:color="auto"/>
        <w:left w:val="none" w:sz="0" w:space="0" w:color="auto"/>
        <w:bottom w:val="none" w:sz="0" w:space="0" w:color="auto"/>
        <w:right w:val="none" w:sz="0" w:space="0" w:color="auto"/>
      </w:divBdr>
    </w:div>
    <w:div w:id="1986543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TotalTime>
  <Pages>6</Pages>
  <Words>2777</Words>
  <Characters>15835</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Chinedu Okeke</dc:creator>
  <cp:keywords/>
  <dc:description/>
  <cp:lastModifiedBy>Chinedu Okeke</cp:lastModifiedBy>
  <cp:revision>77</cp:revision>
  <dcterms:created xsi:type="dcterms:W3CDTF">2025-03-07T10:36:00Z</dcterms:created>
  <dcterms:modified xsi:type="dcterms:W3CDTF">2025-03-19T08:41:00Z</dcterms:modified>
</cp:coreProperties>
</file>