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600D0" w14:textId="77777777" w:rsidR="00055AB7" w:rsidRPr="00B4051A" w:rsidRDefault="00055AB7" w:rsidP="00055AB7">
      <w:pPr>
        <w:jc w:val="center"/>
        <w:rPr>
          <w:rFonts w:cstheme="minorHAnsi"/>
          <w:b/>
          <w:bCs/>
          <w:sz w:val="36"/>
          <w:szCs w:val="36"/>
        </w:rPr>
      </w:pPr>
      <w:r w:rsidRPr="00B4051A">
        <w:rPr>
          <w:rFonts w:cstheme="minorHAnsi"/>
          <w:b/>
          <w:bCs/>
          <w:sz w:val="36"/>
          <w:szCs w:val="36"/>
        </w:rPr>
        <w:t>UNIVERSITY OF NIGERIA, NSUKKA</w:t>
      </w:r>
    </w:p>
    <w:p w14:paraId="4219F644" w14:textId="77777777" w:rsidR="00055AB7" w:rsidRPr="00B4051A" w:rsidRDefault="00055AB7" w:rsidP="00055AB7">
      <w:pPr>
        <w:jc w:val="center"/>
        <w:rPr>
          <w:rFonts w:cstheme="minorHAnsi"/>
          <w:b/>
          <w:bCs/>
          <w:sz w:val="36"/>
          <w:szCs w:val="36"/>
        </w:rPr>
      </w:pPr>
      <w:r w:rsidRPr="00B4051A">
        <w:rPr>
          <w:rFonts w:cstheme="minorHAnsi"/>
          <w:b/>
          <w:bCs/>
          <w:sz w:val="36"/>
          <w:szCs w:val="36"/>
        </w:rPr>
        <w:t xml:space="preserve">FACULTY OF EDUCATION </w:t>
      </w:r>
    </w:p>
    <w:p w14:paraId="79096C36" w14:textId="77777777" w:rsidR="00055AB7" w:rsidRPr="00B4051A" w:rsidRDefault="00055AB7" w:rsidP="00055AB7">
      <w:pPr>
        <w:jc w:val="center"/>
        <w:rPr>
          <w:rFonts w:cstheme="minorHAnsi"/>
          <w:b/>
          <w:bCs/>
          <w:sz w:val="36"/>
          <w:szCs w:val="36"/>
        </w:rPr>
      </w:pPr>
      <w:r w:rsidRPr="00B4051A">
        <w:rPr>
          <w:rFonts w:cstheme="minorHAnsi"/>
          <w:b/>
          <w:bCs/>
          <w:sz w:val="36"/>
          <w:szCs w:val="36"/>
        </w:rPr>
        <w:t>DEPARTMENT OF SCIENCE EDUCATION (CHEMISTRY UNIT)</w:t>
      </w:r>
    </w:p>
    <w:p w14:paraId="798947D4" w14:textId="77777777" w:rsidR="00055AB7" w:rsidRPr="00B4051A" w:rsidRDefault="00055AB7" w:rsidP="00055AB7">
      <w:pPr>
        <w:jc w:val="center"/>
        <w:rPr>
          <w:rFonts w:cstheme="minorHAnsi"/>
          <w:b/>
          <w:bCs/>
          <w:sz w:val="36"/>
          <w:szCs w:val="36"/>
        </w:rPr>
      </w:pPr>
    </w:p>
    <w:p w14:paraId="229585BB" w14:textId="77777777" w:rsidR="00055AB7" w:rsidRPr="00B4051A" w:rsidRDefault="00055AB7" w:rsidP="00055AB7">
      <w:pPr>
        <w:jc w:val="center"/>
        <w:rPr>
          <w:rFonts w:cstheme="minorHAnsi"/>
          <w:b/>
          <w:bCs/>
          <w:sz w:val="36"/>
          <w:szCs w:val="36"/>
        </w:rPr>
      </w:pPr>
    </w:p>
    <w:p w14:paraId="5D381832" w14:textId="77777777" w:rsidR="00055AB7" w:rsidRPr="00B4051A" w:rsidRDefault="00055AB7" w:rsidP="00055AB7">
      <w:pPr>
        <w:jc w:val="center"/>
        <w:rPr>
          <w:rFonts w:cstheme="minorHAnsi"/>
          <w:b/>
          <w:bCs/>
          <w:sz w:val="36"/>
          <w:szCs w:val="36"/>
        </w:rPr>
      </w:pPr>
      <w:r w:rsidRPr="00B4051A">
        <w:rPr>
          <w:rFonts w:cstheme="minorHAnsi"/>
          <w:b/>
          <w:bCs/>
          <w:sz w:val="36"/>
          <w:szCs w:val="36"/>
        </w:rPr>
        <w:t>AN ASSIGMENT SUBMITTED IN PARTIAL FUFILLMENT OF THE ADVANCED ORGANIC CHEMISTRY II (CHM 422).</w:t>
      </w:r>
    </w:p>
    <w:p w14:paraId="4C051805" w14:textId="77777777" w:rsidR="00055AB7" w:rsidRPr="00B4051A" w:rsidRDefault="00055AB7" w:rsidP="00055AB7">
      <w:pPr>
        <w:jc w:val="center"/>
        <w:rPr>
          <w:rFonts w:cstheme="minorHAnsi"/>
          <w:b/>
          <w:bCs/>
          <w:sz w:val="36"/>
          <w:szCs w:val="36"/>
        </w:rPr>
      </w:pPr>
    </w:p>
    <w:p w14:paraId="7A775A32" w14:textId="77777777" w:rsidR="00055AB7" w:rsidRPr="00B4051A" w:rsidRDefault="00055AB7" w:rsidP="00055AB7">
      <w:pPr>
        <w:jc w:val="center"/>
        <w:rPr>
          <w:rFonts w:cstheme="minorHAnsi"/>
          <w:b/>
          <w:bCs/>
          <w:sz w:val="36"/>
          <w:szCs w:val="36"/>
        </w:rPr>
      </w:pPr>
      <w:r w:rsidRPr="00B4051A">
        <w:rPr>
          <w:rFonts w:cstheme="minorHAnsi"/>
          <w:b/>
          <w:bCs/>
          <w:sz w:val="36"/>
          <w:szCs w:val="36"/>
        </w:rPr>
        <w:t>QUESTION: DISCUSS BRIEFY THE DESIGN OF ANTILIPIDEMIC AGENT TARGETTING CHOLESTEROL BIOSYNTHESIS</w:t>
      </w:r>
    </w:p>
    <w:p w14:paraId="4FCC1CF6" w14:textId="77777777" w:rsidR="00055AB7" w:rsidRPr="00B4051A" w:rsidRDefault="00055AB7" w:rsidP="00055AB7">
      <w:pPr>
        <w:rPr>
          <w:rFonts w:cstheme="minorHAnsi"/>
          <w:b/>
          <w:bCs/>
          <w:sz w:val="36"/>
          <w:szCs w:val="36"/>
        </w:rPr>
      </w:pPr>
    </w:p>
    <w:p w14:paraId="647FD950" w14:textId="77777777" w:rsidR="00055AB7" w:rsidRPr="00B4051A" w:rsidRDefault="00055AB7" w:rsidP="00055AB7">
      <w:pPr>
        <w:jc w:val="center"/>
        <w:rPr>
          <w:rFonts w:cstheme="minorHAnsi"/>
          <w:b/>
          <w:bCs/>
          <w:sz w:val="36"/>
          <w:szCs w:val="36"/>
        </w:rPr>
      </w:pPr>
      <w:r w:rsidRPr="00B4051A">
        <w:rPr>
          <w:rFonts w:cstheme="minorHAnsi"/>
          <w:b/>
          <w:bCs/>
          <w:sz w:val="36"/>
          <w:szCs w:val="36"/>
        </w:rPr>
        <w:t xml:space="preserve">BY </w:t>
      </w:r>
    </w:p>
    <w:p w14:paraId="6B2B8308" w14:textId="77777777" w:rsidR="002E4962" w:rsidRDefault="002E4962" w:rsidP="00055AB7">
      <w:pPr>
        <w:jc w:val="center"/>
        <w:rPr>
          <w:rFonts w:cstheme="minorHAnsi"/>
          <w:b/>
          <w:bCs/>
          <w:sz w:val="36"/>
          <w:szCs w:val="36"/>
        </w:rPr>
      </w:pPr>
      <w:r w:rsidRPr="002E4962">
        <w:rPr>
          <w:rFonts w:cstheme="minorHAnsi"/>
          <w:b/>
          <w:bCs/>
          <w:sz w:val="36"/>
          <w:szCs w:val="36"/>
        </w:rPr>
        <w:t>OKOYE KOSISOCHUKWU BONAVENTURE</w:t>
      </w:r>
    </w:p>
    <w:p w14:paraId="4383B8DF" w14:textId="3E5AB21E" w:rsidR="00055AB7" w:rsidRPr="00B4051A" w:rsidRDefault="002E4962" w:rsidP="00055AB7">
      <w:pPr>
        <w:jc w:val="center"/>
        <w:rPr>
          <w:rFonts w:cstheme="minorHAnsi"/>
          <w:b/>
          <w:bCs/>
          <w:sz w:val="36"/>
          <w:szCs w:val="36"/>
        </w:rPr>
      </w:pPr>
      <w:r w:rsidRPr="002E4962">
        <w:rPr>
          <w:rFonts w:cstheme="minorHAnsi"/>
          <w:b/>
          <w:bCs/>
          <w:sz w:val="36"/>
          <w:szCs w:val="36"/>
        </w:rPr>
        <w:t>2020/248622</w:t>
      </w:r>
    </w:p>
    <w:p w14:paraId="2F581343" w14:textId="77777777" w:rsidR="00055AB7" w:rsidRPr="00B4051A" w:rsidRDefault="00055AB7" w:rsidP="00055AB7">
      <w:pPr>
        <w:jc w:val="center"/>
        <w:rPr>
          <w:rFonts w:cstheme="minorHAnsi"/>
          <w:b/>
          <w:bCs/>
          <w:sz w:val="36"/>
          <w:szCs w:val="36"/>
        </w:rPr>
      </w:pPr>
    </w:p>
    <w:p w14:paraId="60E7B96B" w14:textId="77777777" w:rsidR="00055AB7" w:rsidRDefault="00055AB7" w:rsidP="00055AB7">
      <w:pPr>
        <w:jc w:val="center"/>
        <w:rPr>
          <w:rFonts w:cstheme="minorHAnsi"/>
          <w:b/>
          <w:bCs/>
          <w:sz w:val="36"/>
          <w:szCs w:val="36"/>
        </w:rPr>
      </w:pPr>
      <w:r w:rsidRPr="00B4051A">
        <w:rPr>
          <w:rFonts w:cstheme="minorHAnsi"/>
          <w:b/>
          <w:bCs/>
          <w:sz w:val="36"/>
          <w:szCs w:val="36"/>
        </w:rPr>
        <w:t>AUGUST 2025</w:t>
      </w:r>
    </w:p>
    <w:p w14:paraId="34C13409" w14:textId="77777777" w:rsidR="00055AB7" w:rsidRDefault="00055AB7" w:rsidP="00055AB7">
      <w:pPr>
        <w:jc w:val="center"/>
        <w:rPr>
          <w:rFonts w:cstheme="minorHAnsi"/>
          <w:b/>
          <w:bCs/>
          <w:sz w:val="36"/>
          <w:szCs w:val="36"/>
        </w:rPr>
      </w:pPr>
    </w:p>
    <w:p w14:paraId="72F601E7" w14:textId="77777777" w:rsidR="00055AB7" w:rsidRDefault="00055AB7" w:rsidP="00055AB7">
      <w:pPr>
        <w:spacing w:before="100" w:beforeAutospacing="1" w:after="100" w:afterAutospacing="1" w:line="240" w:lineRule="auto"/>
        <w:rPr>
          <w:rFonts w:cstheme="minorHAnsi"/>
          <w:b/>
          <w:bCs/>
          <w:sz w:val="36"/>
          <w:szCs w:val="36"/>
        </w:rPr>
      </w:pPr>
    </w:p>
    <w:p w14:paraId="3D1FF315" w14:textId="77777777" w:rsidR="002E4962" w:rsidRDefault="002E4962" w:rsidP="00055AB7">
      <w:pPr>
        <w:spacing w:before="100" w:beforeAutospacing="1" w:after="100" w:afterAutospacing="1" w:line="240" w:lineRule="auto"/>
        <w:rPr>
          <w:rFonts w:cstheme="minorHAnsi"/>
          <w:b/>
          <w:bCs/>
          <w:sz w:val="36"/>
          <w:szCs w:val="36"/>
        </w:rPr>
      </w:pPr>
    </w:p>
    <w:p w14:paraId="62B3E371" w14:textId="77777777" w:rsidR="00055AB7" w:rsidRDefault="00055AB7" w:rsidP="00055AB7">
      <w:pPr>
        <w:spacing w:before="100" w:beforeAutospacing="1" w:after="100" w:afterAutospacing="1" w:line="240" w:lineRule="auto"/>
        <w:rPr>
          <w:rFonts w:cstheme="minorHAnsi"/>
          <w:b/>
          <w:bCs/>
          <w:sz w:val="36"/>
          <w:szCs w:val="36"/>
        </w:rPr>
      </w:pPr>
    </w:p>
    <w:p w14:paraId="2A294EE1" w14:textId="77777777" w:rsidR="00055AB7" w:rsidRPr="002E0BC2" w:rsidRDefault="00055AB7" w:rsidP="00055AB7">
      <w:pPr>
        <w:spacing w:before="100" w:beforeAutospacing="1" w:after="100" w:afterAutospacing="1" w:line="240" w:lineRule="auto"/>
        <w:rPr>
          <w:rFonts w:ascii="Times New Roman" w:eastAsia="Times New Roman" w:hAnsi="Times New Roman" w:cs="Times New Roman"/>
          <w:sz w:val="24"/>
          <w:szCs w:val="24"/>
        </w:rPr>
      </w:pPr>
    </w:p>
    <w:p w14:paraId="21E1A590" w14:textId="36D7F1CA" w:rsidR="00055AB7" w:rsidRPr="001065AF" w:rsidRDefault="00055AB7" w:rsidP="00055AB7">
      <w:pPr>
        <w:spacing w:after="0" w:line="240" w:lineRule="auto"/>
        <w:jc w:val="both"/>
        <w:rPr>
          <w:rFonts w:eastAsia="Times New Roman" w:cstheme="minorHAnsi"/>
          <w:b/>
          <w:bCs/>
          <w:sz w:val="24"/>
          <w:szCs w:val="24"/>
        </w:rPr>
      </w:pPr>
      <w:r w:rsidRPr="001065AF">
        <w:rPr>
          <w:rFonts w:eastAsia="Times New Roman" w:cstheme="minorHAnsi"/>
          <w:b/>
          <w:bCs/>
          <w:sz w:val="24"/>
          <w:szCs w:val="24"/>
        </w:rPr>
        <w:t>Introduction to Antilipidemic Agents Targeting Cholesterol Biosynthesis</w:t>
      </w:r>
    </w:p>
    <w:p w14:paraId="68994F90" w14:textId="77777777" w:rsidR="00055AB7" w:rsidRPr="00055AB7" w:rsidRDefault="00055AB7" w:rsidP="00055AB7">
      <w:pPr>
        <w:spacing w:after="0" w:line="240" w:lineRule="auto"/>
        <w:jc w:val="both"/>
        <w:rPr>
          <w:rFonts w:eastAsia="Times New Roman" w:cstheme="minorHAnsi"/>
          <w:sz w:val="24"/>
          <w:szCs w:val="24"/>
        </w:rPr>
      </w:pPr>
    </w:p>
    <w:p w14:paraId="5C8E47BD"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Antilipidemic agents, also known as hypolipidemic drugs, are pharmacological compounds designed to lower lipid levels in the blood, particularly low-density lipoprotein cholesterol (LDL-C), to reduce the risk of cardiovascular diseases such as atherosclerosis, coronary artery disease, and stroke. These agents target various aspects of lipid metabolism, including synthesis, absorption, transport, and clearance. A significant subset focuses on inhibiting cholesterol biosynthesis, a critical pathway in the liver where most endogenous cholesterol is produced. Targeting this pathway is effective because it directly reduces hepatic cholesterol production, leading to upregulation of LDL receptors on hepatocytes, which enhances the clearance of circulating LDL-C.</w:t>
      </w:r>
    </w:p>
    <w:p w14:paraId="5963043C" w14:textId="77777777" w:rsidR="00055AB7" w:rsidRPr="00055AB7" w:rsidRDefault="00055AB7" w:rsidP="00055AB7">
      <w:pPr>
        <w:spacing w:after="0" w:line="240" w:lineRule="auto"/>
        <w:jc w:val="both"/>
        <w:rPr>
          <w:rFonts w:eastAsia="Times New Roman" w:cstheme="minorHAnsi"/>
          <w:sz w:val="24"/>
          <w:szCs w:val="24"/>
        </w:rPr>
      </w:pPr>
    </w:p>
    <w:p w14:paraId="46A66530"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The design of such agents has evolved from natural product-derived inhibitors to rationally designed synthetic molecules, incorporating structure-activity relationship (SAR) studies, molecular docking, and advanced delivery systems like nanoparticles to improve efficacy, bioavailability, and safety. This approach is crucial given the global burden of hyperlipidemia, affecting millions and contributing to over 17 million deaths annually from cardiovascular diseases. While statins remain the cornerstone, novel agents address limitations like statin intolerance, offering complementary mechanisms.</w:t>
      </w:r>
    </w:p>
    <w:p w14:paraId="7884B1C9" w14:textId="77777777" w:rsidR="00055AB7" w:rsidRPr="00055AB7" w:rsidRDefault="00055AB7" w:rsidP="00055AB7">
      <w:pPr>
        <w:spacing w:after="0" w:line="240" w:lineRule="auto"/>
        <w:jc w:val="both"/>
        <w:rPr>
          <w:rFonts w:eastAsia="Times New Roman" w:cstheme="minorHAnsi"/>
          <w:sz w:val="24"/>
          <w:szCs w:val="24"/>
        </w:rPr>
      </w:pPr>
    </w:p>
    <w:p w14:paraId="15A55393" w14:textId="0695CD45" w:rsidR="00055AB7" w:rsidRPr="001065AF" w:rsidRDefault="00055AB7" w:rsidP="00055AB7">
      <w:pPr>
        <w:spacing w:after="0" w:line="240" w:lineRule="auto"/>
        <w:jc w:val="both"/>
        <w:rPr>
          <w:rFonts w:eastAsia="Times New Roman" w:cstheme="minorHAnsi"/>
          <w:b/>
          <w:bCs/>
          <w:sz w:val="24"/>
          <w:szCs w:val="24"/>
        </w:rPr>
      </w:pPr>
      <w:r w:rsidRPr="001065AF">
        <w:rPr>
          <w:rFonts w:eastAsia="Times New Roman" w:cstheme="minorHAnsi"/>
          <w:b/>
          <w:bCs/>
          <w:sz w:val="24"/>
          <w:szCs w:val="24"/>
        </w:rPr>
        <w:t>Overview of the Cholesterol Biosynthesis Pathway</w:t>
      </w:r>
    </w:p>
    <w:p w14:paraId="0283E315" w14:textId="77777777" w:rsidR="00055AB7" w:rsidRPr="00055AB7" w:rsidRDefault="00055AB7" w:rsidP="00055AB7">
      <w:pPr>
        <w:spacing w:after="0" w:line="240" w:lineRule="auto"/>
        <w:jc w:val="both"/>
        <w:rPr>
          <w:rFonts w:eastAsia="Times New Roman" w:cstheme="minorHAnsi"/>
          <w:sz w:val="24"/>
          <w:szCs w:val="24"/>
        </w:rPr>
      </w:pPr>
    </w:p>
    <w:p w14:paraId="18AB4458"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Cholesterol biosynthesis occurs primarily in the liver via the mevalonate pathway, a multi-step process involving over 20 enzymes. It begins with the condensation of acetyl-CoA units to form 3-hydroxy-3-methylglutaryl-CoA (HMG-CoA), catalyzed by HMG-CoA synthase. The rate-limiting step is the reduction of HMG-CoA to mevalonate by HMG-CoA reductase (HMGR). Subsequent steps include phosphorylation and decarboxylation of mevalonate to isopentenyl pyrophosphate (IPP), followed by condensation to form geranyl pyrophosphate, farnesyl pyrophosphate, and squalene. Squalene is then epoxidized and cyclized to lanosterol, which undergoes demethylation, reduction, and isomerization to yield cholesterol.</w:t>
      </w:r>
    </w:p>
    <w:p w14:paraId="7D69A1C9" w14:textId="77777777" w:rsidR="00055AB7" w:rsidRPr="00055AB7" w:rsidRDefault="00055AB7" w:rsidP="00055AB7">
      <w:pPr>
        <w:spacing w:after="0" w:line="240" w:lineRule="auto"/>
        <w:jc w:val="both"/>
        <w:rPr>
          <w:rFonts w:eastAsia="Times New Roman" w:cstheme="minorHAnsi"/>
          <w:sz w:val="24"/>
          <w:szCs w:val="24"/>
        </w:rPr>
      </w:pPr>
    </w:p>
    <w:p w14:paraId="5870873E"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This pathway is tightly regulated by feedback mechanisms: high cholesterol levels inhibit HMGR transcription via sterol regulatory element-binding proteins (SREBPs) and promote enzyme degradation. Disruptions, such as in familial hypercholesterolemia, highlight the pathway's clinical relevance. Designing inhibitors typically targets key enzymes like HMGR or upstream providers like ATP-citrate lyase (ACLY), aiming to mimic substrates or bind active sites competitively.</w:t>
      </w:r>
    </w:p>
    <w:p w14:paraId="70012CAA" w14:textId="77777777" w:rsidR="00055AB7" w:rsidRPr="00055AB7" w:rsidRDefault="00055AB7" w:rsidP="00055AB7">
      <w:pPr>
        <w:spacing w:after="0" w:line="240" w:lineRule="auto"/>
        <w:jc w:val="both"/>
        <w:rPr>
          <w:rFonts w:eastAsia="Times New Roman" w:cstheme="minorHAnsi"/>
          <w:sz w:val="24"/>
          <w:szCs w:val="24"/>
        </w:rPr>
      </w:pPr>
    </w:p>
    <w:p w14:paraId="781B591C" w14:textId="79C54798" w:rsidR="00055AB7" w:rsidRPr="001065AF" w:rsidRDefault="00055AB7" w:rsidP="00055AB7">
      <w:pPr>
        <w:spacing w:after="0" w:line="240" w:lineRule="auto"/>
        <w:jc w:val="both"/>
        <w:rPr>
          <w:rFonts w:eastAsia="Times New Roman" w:cstheme="minorHAnsi"/>
          <w:b/>
          <w:bCs/>
          <w:sz w:val="24"/>
          <w:szCs w:val="24"/>
        </w:rPr>
      </w:pPr>
      <w:r w:rsidRPr="001065AF">
        <w:rPr>
          <w:rFonts w:eastAsia="Times New Roman" w:cstheme="minorHAnsi"/>
          <w:b/>
          <w:bCs/>
          <w:sz w:val="24"/>
          <w:szCs w:val="24"/>
        </w:rPr>
        <w:t xml:space="preserve"> Key Targets in Cholesterol Biosynthesis for Drug Design</w:t>
      </w:r>
    </w:p>
    <w:p w14:paraId="4C3681FB" w14:textId="77777777" w:rsidR="00055AB7" w:rsidRPr="00055AB7" w:rsidRDefault="00055AB7" w:rsidP="00055AB7">
      <w:pPr>
        <w:spacing w:after="0" w:line="240" w:lineRule="auto"/>
        <w:jc w:val="both"/>
        <w:rPr>
          <w:rFonts w:eastAsia="Times New Roman" w:cstheme="minorHAnsi"/>
          <w:sz w:val="24"/>
          <w:szCs w:val="24"/>
        </w:rPr>
      </w:pPr>
    </w:p>
    <w:p w14:paraId="622548EE"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The primary targets for antilipidemic agents in this pathway include:</w:t>
      </w:r>
    </w:p>
    <w:p w14:paraId="4B6BCEFE" w14:textId="77777777" w:rsidR="00055AB7" w:rsidRPr="00055AB7" w:rsidRDefault="00055AB7" w:rsidP="00055AB7">
      <w:pPr>
        <w:spacing w:after="0" w:line="240" w:lineRule="auto"/>
        <w:jc w:val="both"/>
        <w:rPr>
          <w:rFonts w:eastAsia="Times New Roman" w:cstheme="minorHAnsi"/>
          <w:sz w:val="24"/>
          <w:szCs w:val="24"/>
        </w:rPr>
      </w:pPr>
    </w:p>
    <w:p w14:paraId="01F0BBC5" w14:textId="2E930BF8"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lastRenderedPageBreak/>
        <w:t xml:space="preserve">1. </w:t>
      </w:r>
      <w:r w:rsidRPr="001065AF">
        <w:rPr>
          <w:rFonts w:eastAsia="Times New Roman" w:cstheme="minorHAnsi"/>
          <w:b/>
          <w:bCs/>
          <w:sz w:val="24"/>
          <w:szCs w:val="24"/>
        </w:rPr>
        <w:t>HMG-CoA Reductase (HMGR)</w:t>
      </w:r>
      <w:r w:rsidRPr="00055AB7">
        <w:rPr>
          <w:rFonts w:eastAsia="Times New Roman" w:cstheme="minorHAnsi"/>
          <w:sz w:val="24"/>
          <w:szCs w:val="24"/>
        </w:rPr>
        <w:t>: The most exploited target, as its inhibition halts mevalonate production, reducing cholesterol synthesis by up to 50-60%. Inhibitors bind to the enzyme's active site, competing with HMG-CoA.</w:t>
      </w:r>
    </w:p>
    <w:p w14:paraId="0B6031B6" w14:textId="77777777" w:rsidR="00055AB7" w:rsidRPr="00055AB7" w:rsidRDefault="00055AB7" w:rsidP="00055AB7">
      <w:pPr>
        <w:spacing w:after="0" w:line="240" w:lineRule="auto"/>
        <w:jc w:val="both"/>
        <w:rPr>
          <w:rFonts w:eastAsia="Times New Roman" w:cstheme="minorHAnsi"/>
          <w:sz w:val="24"/>
          <w:szCs w:val="24"/>
        </w:rPr>
      </w:pPr>
    </w:p>
    <w:p w14:paraId="045FCEFE" w14:textId="3AC761C8"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 xml:space="preserve">2. </w:t>
      </w:r>
      <w:r w:rsidRPr="001065AF">
        <w:rPr>
          <w:rFonts w:eastAsia="Times New Roman" w:cstheme="minorHAnsi"/>
          <w:b/>
          <w:bCs/>
          <w:sz w:val="24"/>
          <w:szCs w:val="24"/>
        </w:rPr>
        <w:t>ATP-Citrate Lyase (ACLY)</w:t>
      </w:r>
      <w:r w:rsidRPr="00055AB7">
        <w:rPr>
          <w:rFonts w:eastAsia="Times New Roman" w:cstheme="minorHAnsi"/>
          <w:sz w:val="24"/>
          <w:szCs w:val="24"/>
        </w:rPr>
        <w:t xml:space="preserve">: Upstream of HMGR, ACLY cleaves citrate to acetyl-CoA, a precursor for cholesterol and fatty acids. Inhibiting ACLY reduces substrate availability for synthesis, offering an alternative for </w:t>
      </w:r>
      <w:r w:rsidR="001065AF" w:rsidRPr="00055AB7">
        <w:rPr>
          <w:rFonts w:eastAsia="Times New Roman" w:cstheme="minorHAnsi"/>
          <w:sz w:val="24"/>
          <w:szCs w:val="24"/>
        </w:rPr>
        <w:t>patient’s</w:t>
      </w:r>
      <w:r w:rsidRPr="00055AB7">
        <w:rPr>
          <w:rFonts w:eastAsia="Times New Roman" w:cstheme="minorHAnsi"/>
          <w:sz w:val="24"/>
          <w:szCs w:val="24"/>
        </w:rPr>
        <w:t xml:space="preserve"> intolerant to HMGR inhibitors.</w:t>
      </w:r>
    </w:p>
    <w:p w14:paraId="6A948F66" w14:textId="77777777" w:rsidR="00055AB7" w:rsidRPr="00055AB7" w:rsidRDefault="00055AB7" w:rsidP="00055AB7">
      <w:pPr>
        <w:spacing w:after="0" w:line="240" w:lineRule="auto"/>
        <w:jc w:val="both"/>
        <w:rPr>
          <w:rFonts w:eastAsia="Times New Roman" w:cstheme="minorHAnsi"/>
          <w:sz w:val="24"/>
          <w:szCs w:val="24"/>
        </w:rPr>
      </w:pPr>
    </w:p>
    <w:p w14:paraId="604E2249" w14:textId="5D989F16"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 xml:space="preserve">3. </w:t>
      </w:r>
      <w:r w:rsidRPr="001065AF">
        <w:rPr>
          <w:rFonts w:eastAsia="Times New Roman" w:cstheme="minorHAnsi"/>
          <w:b/>
          <w:bCs/>
          <w:sz w:val="24"/>
          <w:szCs w:val="24"/>
        </w:rPr>
        <w:t>Other Enzymes</w:t>
      </w:r>
      <w:r w:rsidRPr="00055AB7">
        <w:rPr>
          <w:rFonts w:eastAsia="Times New Roman" w:cstheme="minorHAnsi"/>
          <w:sz w:val="24"/>
          <w:szCs w:val="24"/>
        </w:rPr>
        <w:t xml:space="preserve">: Less common targets include squalene synthase (inhibits squalene formation), </w:t>
      </w:r>
      <w:proofErr w:type="spellStart"/>
      <w:r w:rsidRPr="00055AB7">
        <w:rPr>
          <w:rFonts w:eastAsia="Times New Roman" w:cstheme="minorHAnsi"/>
          <w:sz w:val="24"/>
          <w:szCs w:val="24"/>
        </w:rPr>
        <w:t>acyl-</w:t>
      </w:r>
      <w:proofErr w:type="gramStart"/>
      <w:r w:rsidRPr="00055AB7">
        <w:rPr>
          <w:rFonts w:eastAsia="Times New Roman" w:cstheme="minorHAnsi"/>
          <w:sz w:val="24"/>
          <w:szCs w:val="24"/>
        </w:rPr>
        <w:t>CoA:cholesterol</w:t>
      </w:r>
      <w:proofErr w:type="spellEnd"/>
      <w:proofErr w:type="gramEnd"/>
      <w:r w:rsidRPr="00055AB7">
        <w:rPr>
          <w:rFonts w:eastAsia="Times New Roman" w:cstheme="minorHAnsi"/>
          <w:sz w:val="24"/>
          <w:szCs w:val="24"/>
        </w:rPr>
        <w:t xml:space="preserve"> acyltransferase (ACAT; prevents cholesterol esterification), and microsomal triglyceride transfer protein (MTP; affects lipoprotein assembly). These provide synergistic effects when combined with primary inhibitors.</w:t>
      </w:r>
    </w:p>
    <w:p w14:paraId="3086227D" w14:textId="77777777" w:rsidR="00055AB7" w:rsidRPr="00055AB7" w:rsidRDefault="00055AB7" w:rsidP="00055AB7">
      <w:pPr>
        <w:spacing w:after="0" w:line="240" w:lineRule="auto"/>
        <w:jc w:val="both"/>
        <w:rPr>
          <w:rFonts w:eastAsia="Times New Roman" w:cstheme="minorHAnsi"/>
          <w:sz w:val="24"/>
          <w:szCs w:val="24"/>
        </w:rPr>
      </w:pPr>
    </w:p>
    <w:p w14:paraId="24E5D254"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Design principles emphasize selectivity to avoid off-target effects on the mevalonate pathway's non-sterol branches (e.g., isoprenoids for protein prenylation), which can cause myopathy.</w:t>
      </w:r>
    </w:p>
    <w:p w14:paraId="1FC2ADD8" w14:textId="77777777" w:rsidR="00055AB7" w:rsidRPr="00055AB7" w:rsidRDefault="00055AB7" w:rsidP="00055AB7">
      <w:pPr>
        <w:spacing w:after="0" w:line="240" w:lineRule="auto"/>
        <w:jc w:val="both"/>
        <w:rPr>
          <w:rFonts w:eastAsia="Times New Roman" w:cstheme="minorHAnsi"/>
          <w:sz w:val="24"/>
          <w:szCs w:val="24"/>
        </w:rPr>
      </w:pPr>
    </w:p>
    <w:p w14:paraId="0A93FC55" w14:textId="1BCE7D0E" w:rsidR="00055AB7" w:rsidRPr="008C4E36" w:rsidRDefault="00055AB7" w:rsidP="00055AB7">
      <w:pPr>
        <w:spacing w:after="0" w:line="240" w:lineRule="auto"/>
        <w:jc w:val="both"/>
        <w:rPr>
          <w:rFonts w:eastAsia="Times New Roman" w:cstheme="minorHAnsi"/>
          <w:b/>
          <w:bCs/>
          <w:sz w:val="24"/>
          <w:szCs w:val="24"/>
        </w:rPr>
      </w:pPr>
      <w:r w:rsidRPr="008C4E36">
        <w:rPr>
          <w:rFonts w:eastAsia="Times New Roman" w:cstheme="minorHAnsi"/>
          <w:b/>
          <w:bCs/>
          <w:sz w:val="24"/>
          <w:szCs w:val="24"/>
        </w:rPr>
        <w:t>Design Strategies for Antilipidemic Agents</w:t>
      </w:r>
    </w:p>
    <w:p w14:paraId="6A43F994" w14:textId="77777777" w:rsidR="00055AB7" w:rsidRPr="00055AB7" w:rsidRDefault="00055AB7" w:rsidP="00055AB7">
      <w:pPr>
        <w:spacing w:after="0" w:line="240" w:lineRule="auto"/>
        <w:jc w:val="both"/>
        <w:rPr>
          <w:rFonts w:eastAsia="Times New Roman" w:cstheme="minorHAnsi"/>
          <w:sz w:val="24"/>
          <w:szCs w:val="24"/>
        </w:rPr>
      </w:pPr>
    </w:p>
    <w:p w14:paraId="4CCAA584"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Drug design for these agents employs rational, structure-based, and ligand-based approaches:</w:t>
      </w:r>
    </w:p>
    <w:p w14:paraId="153C915F" w14:textId="77777777" w:rsidR="00055AB7" w:rsidRPr="00055AB7" w:rsidRDefault="00055AB7" w:rsidP="00055AB7">
      <w:pPr>
        <w:spacing w:after="0" w:line="240" w:lineRule="auto"/>
        <w:jc w:val="both"/>
        <w:rPr>
          <w:rFonts w:eastAsia="Times New Roman" w:cstheme="minorHAnsi"/>
          <w:sz w:val="24"/>
          <w:szCs w:val="24"/>
        </w:rPr>
      </w:pPr>
    </w:p>
    <w:p w14:paraId="4FA1A9E0" w14:textId="11255B08" w:rsidR="00055AB7" w:rsidRPr="008C4E36" w:rsidRDefault="00055AB7" w:rsidP="008C4E36">
      <w:pPr>
        <w:pStyle w:val="ListParagraph"/>
        <w:numPr>
          <w:ilvl w:val="0"/>
          <w:numId w:val="1"/>
        </w:numPr>
        <w:spacing w:after="0" w:line="240" w:lineRule="auto"/>
        <w:jc w:val="both"/>
        <w:rPr>
          <w:rFonts w:eastAsia="Times New Roman" w:cstheme="minorHAnsi"/>
          <w:sz w:val="24"/>
          <w:szCs w:val="24"/>
        </w:rPr>
      </w:pPr>
      <w:r w:rsidRPr="008C4E36">
        <w:rPr>
          <w:rFonts w:eastAsia="Times New Roman" w:cstheme="minorHAnsi"/>
          <w:sz w:val="24"/>
          <w:szCs w:val="24"/>
        </w:rPr>
        <w:t>Structure-Activity Relationship (SAR) and Molecular Docking: Analogs are modified to optimize binding. For instance, polar groups (e.g., hydroxy or amino) are added to mimic HMG-CoA's carboxylate, enhancing hydrogen bonding with residues like Ser684 and Lys692 in HMGR. Docking tools predict affinities, as seen in α-</w:t>
      </w:r>
      <w:proofErr w:type="spellStart"/>
      <w:r w:rsidRPr="008C4E36">
        <w:rPr>
          <w:rFonts w:eastAsia="Times New Roman" w:cstheme="minorHAnsi"/>
          <w:sz w:val="24"/>
          <w:szCs w:val="24"/>
        </w:rPr>
        <w:t>asarone</w:t>
      </w:r>
      <w:proofErr w:type="spellEnd"/>
      <w:r w:rsidRPr="008C4E36">
        <w:rPr>
          <w:rFonts w:eastAsia="Times New Roman" w:cstheme="minorHAnsi"/>
          <w:sz w:val="24"/>
          <w:szCs w:val="24"/>
        </w:rPr>
        <w:t xml:space="preserve"> analogs where side-chain modifications improved binding energies.</w:t>
      </w:r>
    </w:p>
    <w:p w14:paraId="07FED157" w14:textId="77777777" w:rsidR="00055AB7" w:rsidRPr="00055AB7" w:rsidRDefault="00055AB7" w:rsidP="00055AB7">
      <w:pPr>
        <w:spacing w:after="0" w:line="240" w:lineRule="auto"/>
        <w:jc w:val="both"/>
        <w:rPr>
          <w:rFonts w:eastAsia="Times New Roman" w:cstheme="minorHAnsi"/>
          <w:sz w:val="24"/>
          <w:szCs w:val="24"/>
        </w:rPr>
      </w:pPr>
    </w:p>
    <w:p w14:paraId="55B1BDB6" w14:textId="7DB8B27A" w:rsidR="00055AB7" w:rsidRPr="008C4E36" w:rsidRDefault="00055AB7" w:rsidP="008C4E36">
      <w:pPr>
        <w:pStyle w:val="ListParagraph"/>
        <w:numPr>
          <w:ilvl w:val="0"/>
          <w:numId w:val="1"/>
        </w:numPr>
        <w:spacing w:after="0" w:line="240" w:lineRule="auto"/>
        <w:jc w:val="both"/>
        <w:rPr>
          <w:rFonts w:eastAsia="Times New Roman" w:cstheme="minorHAnsi"/>
          <w:sz w:val="24"/>
          <w:szCs w:val="24"/>
        </w:rPr>
      </w:pPr>
      <w:r w:rsidRPr="008C4E36">
        <w:rPr>
          <w:rFonts w:eastAsia="Times New Roman" w:cstheme="minorHAnsi"/>
          <w:sz w:val="24"/>
          <w:szCs w:val="24"/>
        </w:rPr>
        <w:t xml:space="preserve">Natural Product-Inspired Design: Many agents derive from fungal metabolites (e.g., lovastatin from Aspergillus </w:t>
      </w:r>
      <w:proofErr w:type="spellStart"/>
      <w:r w:rsidRPr="008C4E36">
        <w:rPr>
          <w:rFonts w:eastAsia="Times New Roman" w:cstheme="minorHAnsi"/>
          <w:sz w:val="24"/>
          <w:szCs w:val="24"/>
        </w:rPr>
        <w:t>terreus</w:t>
      </w:r>
      <w:proofErr w:type="spellEnd"/>
      <w:r w:rsidRPr="008C4E36">
        <w:rPr>
          <w:rFonts w:eastAsia="Times New Roman" w:cstheme="minorHAnsi"/>
          <w:sz w:val="24"/>
          <w:szCs w:val="24"/>
        </w:rPr>
        <w:t>) or plants (e.g., α-</w:t>
      </w:r>
      <w:proofErr w:type="spellStart"/>
      <w:r w:rsidRPr="008C4E36">
        <w:rPr>
          <w:rFonts w:eastAsia="Times New Roman" w:cstheme="minorHAnsi"/>
          <w:sz w:val="24"/>
          <w:szCs w:val="24"/>
        </w:rPr>
        <w:t>asarone</w:t>
      </w:r>
      <w:proofErr w:type="spellEnd"/>
      <w:r w:rsidRPr="008C4E36">
        <w:rPr>
          <w:rFonts w:eastAsia="Times New Roman" w:cstheme="minorHAnsi"/>
          <w:sz w:val="24"/>
          <w:szCs w:val="24"/>
        </w:rPr>
        <w:t xml:space="preserve"> from Acorus calamus). Modifications deconjugate or saturate side chains to boost potency.</w:t>
      </w:r>
    </w:p>
    <w:p w14:paraId="1EC7D76B" w14:textId="77777777" w:rsidR="00055AB7" w:rsidRPr="00055AB7" w:rsidRDefault="00055AB7" w:rsidP="00055AB7">
      <w:pPr>
        <w:spacing w:after="0" w:line="240" w:lineRule="auto"/>
        <w:jc w:val="both"/>
        <w:rPr>
          <w:rFonts w:eastAsia="Times New Roman" w:cstheme="minorHAnsi"/>
          <w:sz w:val="24"/>
          <w:szCs w:val="24"/>
        </w:rPr>
      </w:pPr>
    </w:p>
    <w:p w14:paraId="739FF7B7" w14:textId="7846A59B" w:rsidR="00055AB7" w:rsidRPr="008C4E36" w:rsidRDefault="00055AB7" w:rsidP="008C4E36">
      <w:pPr>
        <w:pStyle w:val="ListParagraph"/>
        <w:numPr>
          <w:ilvl w:val="0"/>
          <w:numId w:val="1"/>
        </w:numPr>
        <w:spacing w:after="0" w:line="240" w:lineRule="auto"/>
        <w:jc w:val="both"/>
        <w:rPr>
          <w:rFonts w:eastAsia="Times New Roman" w:cstheme="minorHAnsi"/>
          <w:sz w:val="24"/>
          <w:szCs w:val="24"/>
        </w:rPr>
      </w:pPr>
      <w:r w:rsidRPr="008C4E36">
        <w:rPr>
          <w:rFonts w:eastAsia="Times New Roman" w:cstheme="minorHAnsi"/>
          <w:sz w:val="24"/>
          <w:szCs w:val="24"/>
        </w:rPr>
        <w:t>Nanotechnology and Delivery Systems: To address poor bioavailability and side effects, nano-formulations are used. Polymeric nanoparticles (e.g., PLGA for atorvastatin) enable sustained release, reducing doses by 66% in models. Lipid-based systems like solid lipid nanoparticles (SLNs) and nanostructured lipid carriers (NLCs) enhance solubility and target liver delivery. Self-nanoemulsifying drug delivery systems (SNEDDS) increase dissolution 4-fold, while chitosan nanoparticles leverage mucoadhesive properties for prolonged effects.</w:t>
      </w:r>
    </w:p>
    <w:p w14:paraId="5AEF0B22" w14:textId="77777777" w:rsidR="00055AB7" w:rsidRPr="00055AB7" w:rsidRDefault="00055AB7" w:rsidP="00055AB7">
      <w:pPr>
        <w:spacing w:after="0" w:line="240" w:lineRule="auto"/>
        <w:jc w:val="both"/>
        <w:rPr>
          <w:rFonts w:eastAsia="Times New Roman" w:cstheme="minorHAnsi"/>
          <w:sz w:val="24"/>
          <w:szCs w:val="24"/>
        </w:rPr>
      </w:pPr>
    </w:p>
    <w:p w14:paraId="1F8B07AC" w14:textId="017B1FD9" w:rsidR="00055AB7" w:rsidRPr="008C4E36" w:rsidRDefault="00055AB7" w:rsidP="008C4E36">
      <w:pPr>
        <w:pStyle w:val="ListParagraph"/>
        <w:numPr>
          <w:ilvl w:val="0"/>
          <w:numId w:val="1"/>
        </w:numPr>
        <w:spacing w:after="0" w:line="240" w:lineRule="auto"/>
        <w:jc w:val="both"/>
        <w:rPr>
          <w:rFonts w:eastAsia="Times New Roman" w:cstheme="minorHAnsi"/>
          <w:sz w:val="24"/>
          <w:szCs w:val="24"/>
        </w:rPr>
      </w:pPr>
      <w:r w:rsidRPr="008C4E36">
        <w:rPr>
          <w:rFonts w:eastAsia="Times New Roman" w:cstheme="minorHAnsi"/>
          <w:sz w:val="24"/>
          <w:szCs w:val="24"/>
        </w:rPr>
        <w:t>Combination Therapies: Agents are designed for synergy, e.g., with ezetimibe (absorption inhibitor) or PCSK9 inhibitors (enhance LDL receptor recycling).</w:t>
      </w:r>
    </w:p>
    <w:p w14:paraId="33B20FAD" w14:textId="77777777" w:rsidR="00055AB7" w:rsidRPr="00055AB7" w:rsidRDefault="00055AB7" w:rsidP="00055AB7">
      <w:pPr>
        <w:spacing w:after="0" w:line="240" w:lineRule="auto"/>
        <w:jc w:val="both"/>
        <w:rPr>
          <w:rFonts w:eastAsia="Times New Roman" w:cstheme="minorHAnsi"/>
          <w:sz w:val="24"/>
          <w:szCs w:val="24"/>
        </w:rPr>
      </w:pPr>
    </w:p>
    <w:p w14:paraId="5110308B" w14:textId="48473516" w:rsidR="00055AB7" w:rsidRPr="008C4E36" w:rsidRDefault="00055AB7" w:rsidP="008C4E36">
      <w:pPr>
        <w:pStyle w:val="ListParagraph"/>
        <w:numPr>
          <w:ilvl w:val="0"/>
          <w:numId w:val="1"/>
        </w:numPr>
        <w:spacing w:after="0" w:line="240" w:lineRule="auto"/>
        <w:jc w:val="both"/>
        <w:rPr>
          <w:rFonts w:eastAsia="Times New Roman" w:cstheme="minorHAnsi"/>
          <w:sz w:val="24"/>
          <w:szCs w:val="24"/>
        </w:rPr>
      </w:pPr>
      <w:r w:rsidRPr="008C4E36">
        <w:rPr>
          <w:rFonts w:eastAsia="Times New Roman" w:cstheme="minorHAnsi"/>
          <w:sz w:val="24"/>
          <w:szCs w:val="24"/>
        </w:rPr>
        <w:t xml:space="preserve">Prodrug Strategies: Inactive forms activate in the liver (e.g., </w:t>
      </w:r>
      <w:proofErr w:type="spellStart"/>
      <w:r w:rsidRPr="008C4E36">
        <w:rPr>
          <w:rFonts w:eastAsia="Times New Roman" w:cstheme="minorHAnsi"/>
          <w:sz w:val="24"/>
          <w:szCs w:val="24"/>
        </w:rPr>
        <w:t>bempedoic</w:t>
      </w:r>
      <w:proofErr w:type="spellEnd"/>
      <w:r w:rsidRPr="008C4E36">
        <w:rPr>
          <w:rFonts w:eastAsia="Times New Roman" w:cstheme="minorHAnsi"/>
          <w:sz w:val="24"/>
          <w:szCs w:val="24"/>
        </w:rPr>
        <w:t xml:space="preserve"> acid via acyl-CoA synthetase-1), minimizing muscle exposure and toxicity.</w:t>
      </w:r>
    </w:p>
    <w:p w14:paraId="75233662" w14:textId="77777777" w:rsidR="00055AB7" w:rsidRPr="00055AB7" w:rsidRDefault="00055AB7" w:rsidP="00055AB7">
      <w:pPr>
        <w:spacing w:after="0" w:line="240" w:lineRule="auto"/>
        <w:jc w:val="both"/>
        <w:rPr>
          <w:rFonts w:eastAsia="Times New Roman" w:cstheme="minorHAnsi"/>
          <w:sz w:val="24"/>
          <w:szCs w:val="24"/>
        </w:rPr>
      </w:pPr>
    </w:p>
    <w:p w14:paraId="62EA5166"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lastRenderedPageBreak/>
        <w:t>These strategies integrate computational modeling, synthesis (e.g., Baeyer-</w:t>
      </w:r>
      <w:proofErr w:type="spellStart"/>
      <w:r w:rsidRPr="00055AB7">
        <w:rPr>
          <w:rFonts w:eastAsia="Times New Roman" w:cstheme="minorHAnsi"/>
          <w:sz w:val="24"/>
          <w:szCs w:val="24"/>
        </w:rPr>
        <w:t>Villiger</w:t>
      </w:r>
      <w:proofErr w:type="spellEnd"/>
      <w:r w:rsidRPr="00055AB7">
        <w:rPr>
          <w:rFonts w:eastAsia="Times New Roman" w:cstheme="minorHAnsi"/>
          <w:sz w:val="24"/>
          <w:szCs w:val="24"/>
        </w:rPr>
        <w:t xml:space="preserve"> oxidation, Claisen rearrangement), and in vivo/in vitro evaluation using models like hyperlipidemic mice or </w:t>
      </w:r>
      <w:proofErr w:type="spellStart"/>
      <w:r w:rsidRPr="00055AB7">
        <w:rPr>
          <w:rFonts w:eastAsia="Times New Roman" w:cstheme="minorHAnsi"/>
          <w:sz w:val="24"/>
          <w:szCs w:val="24"/>
        </w:rPr>
        <w:t>Schizosaccharomyces</w:t>
      </w:r>
      <w:proofErr w:type="spellEnd"/>
      <w:r w:rsidRPr="00055AB7">
        <w:rPr>
          <w:rFonts w:eastAsia="Times New Roman" w:cstheme="minorHAnsi"/>
          <w:sz w:val="24"/>
          <w:szCs w:val="24"/>
        </w:rPr>
        <w:t xml:space="preserve"> pombe for HMGR inhibition assays.</w:t>
      </w:r>
    </w:p>
    <w:p w14:paraId="5241A360" w14:textId="77777777" w:rsidR="00055AB7" w:rsidRPr="00055AB7" w:rsidRDefault="00055AB7" w:rsidP="00055AB7">
      <w:pPr>
        <w:spacing w:after="0" w:line="240" w:lineRule="auto"/>
        <w:jc w:val="both"/>
        <w:rPr>
          <w:rFonts w:eastAsia="Times New Roman" w:cstheme="minorHAnsi"/>
          <w:sz w:val="24"/>
          <w:szCs w:val="24"/>
        </w:rPr>
      </w:pPr>
    </w:p>
    <w:p w14:paraId="3B25743D" w14:textId="74D5077D" w:rsidR="00055AB7" w:rsidRPr="00BF709C" w:rsidRDefault="00055AB7" w:rsidP="00055AB7">
      <w:pPr>
        <w:spacing w:after="0" w:line="240" w:lineRule="auto"/>
        <w:jc w:val="both"/>
        <w:rPr>
          <w:rFonts w:eastAsia="Times New Roman" w:cstheme="minorHAnsi"/>
          <w:b/>
          <w:bCs/>
          <w:sz w:val="24"/>
          <w:szCs w:val="24"/>
        </w:rPr>
      </w:pPr>
      <w:r w:rsidRPr="00BF709C">
        <w:rPr>
          <w:rFonts w:eastAsia="Times New Roman" w:cstheme="minorHAnsi"/>
          <w:b/>
          <w:bCs/>
          <w:sz w:val="24"/>
          <w:szCs w:val="24"/>
        </w:rPr>
        <w:t xml:space="preserve"> Specific Examples of Agents and Their Design</w:t>
      </w:r>
    </w:p>
    <w:p w14:paraId="26E92440" w14:textId="77777777" w:rsidR="00055AB7" w:rsidRPr="00055AB7" w:rsidRDefault="00055AB7" w:rsidP="00055AB7">
      <w:pPr>
        <w:spacing w:after="0" w:line="240" w:lineRule="auto"/>
        <w:jc w:val="both"/>
        <w:rPr>
          <w:rFonts w:eastAsia="Times New Roman" w:cstheme="minorHAnsi"/>
          <w:sz w:val="24"/>
          <w:szCs w:val="24"/>
        </w:rPr>
      </w:pPr>
    </w:p>
    <w:p w14:paraId="592067CA" w14:textId="2895D8A9" w:rsidR="00055AB7" w:rsidRPr="00BF709C" w:rsidRDefault="00055AB7" w:rsidP="00055AB7">
      <w:pPr>
        <w:spacing w:after="0" w:line="240" w:lineRule="auto"/>
        <w:jc w:val="both"/>
        <w:rPr>
          <w:rFonts w:eastAsia="Times New Roman" w:cstheme="minorHAnsi"/>
          <w:b/>
          <w:bCs/>
          <w:sz w:val="24"/>
          <w:szCs w:val="24"/>
        </w:rPr>
      </w:pPr>
      <w:r w:rsidRPr="00BF709C">
        <w:rPr>
          <w:rFonts w:eastAsia="Times New Roman" w:cstheme="minorHAnsi"/>
          <w:b/>
          <w:bCs/>
          <w:sz w:val="24"/>
          <w:szCs w:val="24"/>
        </w:rPr>
        <w:t xml:space="preserve"> Statins: The Gold Standard HMGR Inhibitors</w:t>
      </w:r>
    </w:p>
    <w:p w14:paraId="4B3AA798" w14:textId="77777777" w:rsidR="00055AB7" w:rsidRPr="00055AB7" w:rsidRDefault="00055AB7" w:rsidP="00055AB7">
      <w:pPr>
        <w:spacing w:after="0" w:line="240" w:lineRule="auto"/>
        <w:jc w:val="both"/>
        <w:rPr>
          <w:rFonts w:eastAsia="Times New Roman" w:cstheme="minorHAnsi"/>
          <w:sz w:val="24"/>
          <w:szCs w:val="24"/>
        </w:rPr>
      </w:pPr>
    </w:p>
    <w:p w14:paraId="243C4BAF"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 xml:space="preserve">Statins were pioneered in the 1970s by Akira Endo, who isolated </w:t>
      </w:r>
      <w:proofErr w:type="spellStart"/>
      <w:r w:rsidRPr="00055AB7">
        <w:rPr>
          <w:rFonts w:eastAsia="Times New Roman" w:cstheme="minorHAnsi"/>
          <w:sz w:val="24"/>
          <w:szCs w:val="24"/>
        </w:rPr>
        <w:t>compactin</w:t>
      </w:r>
      <w:proofErr w:type="spellEnd"/>
      <w:r w:rsidRPr="00055AB7">
        <w:rPr>
          <w:rFonts w:eastAsia="Times New Roman" w:cstheme="minorHAnsi"/>
          <w:sz w:val="24"/>
          <w:szCs w:val="24"/>
        </w:rPr>
        <w:t xml:space="preserve"> (</w:t>
      </w:r>
      <w:proofErr w:type="spellStart"/>
      <w:r w:rsidRPr="00055AB7">
        <w:rPr>
          <w:rFonts w:eastAsia="Times New Roman" w:cstheme="minorHAnsi"/>
          <w:sz w:val="24"/>
          <w:szCs w:val="24"/>
        </w:rPr>
        <w:t>mevastatin</w:t>
      </w:r>
      <w:proofErr w:type="spellEnd"/>
      <w:r w:rsidRPr="00055AB7">
        <w:rPr>
          <w:rFonts w:eastAsia="Times New Roman" w:cstheme="minorHAnsi"/>
          <w:sz w:val="24"/>
          <w:szCs w:val="24"/>
        </w:rPr>
        <w:t xml:space="preserve">) from Penicillium </w:t>
      </w:r>
      <w:proofErr w:type="spellStart"/>
      <w:r w:rsidRPr="00055AB7">
        <w:rPr>
          <w:rFonts w:eastAsia="Times New Roman" w:cstheme="minorHAnsi"/>
          <w:sz w:val="24"/>
          <w:szCs w:val="24"/>
        </w:rPr>
        <w:t>citrinum</w:t>
      </w:r>
      <w:proofErr w:type="spellEnd"/>
      <w:r w:rsidRPr="00055AB7">
        <w:rPr>
          <w:rFonts w:eastAsia="Times New Roman" w:cstheme="minorHAnsi"/>
          <w:sz w:val="24"/>
          <w:szCs w:val="24"/>
        </w:rPr>
        <w:t xml:space="preserve">. Lovastatin, the first approved in 1987, was derived from Aspergillus </w:t>
      </w:r>
      <w:proofErr w:type="spellStart"/>
      <w:r w:rsidRPr="00055AB7">
        <w:rPr>
          <w:rFonts w:eastAsia="Times New Roman" w:cstheme="minorHAnsi"/>
          <w:sz w:val="24"/>
          <w:szCs w:val="24"/>
        </w:rPr>
        <w:t>terreus</w:t>
      </w:r>
      <w:proofErr w:type="spellEnd"/>
      <w:r w:rsidRPr="00055AB7">
        <w:rPr>
          <w:rFonts w:eastAsia="Times New Roman" w:cstheme="minorHAnsi"/>
          <w:sz w:val="24"/>
          <w:szCs w:val="24"/>
        </w:rPr>
        <w:t xml:space="preserve">. Design involved fungal fermentation for natural statins (lovastatin, simvastatin, pravastatin) and chemical synthesis for others (atorvastatin, rosuvastatin, </w:t>
      </w:r>
      <w:proofErr w:type="spellStart"/>
      <w:r w:rsidRPr="00055AB7">
        <w:rPr>
          <w:rFonts w:eastAsia="Times New Roman" w:cstheme="minorHAnsi"/>
          <w:sz w:val="24"/>
          <w:szCs w:val="24"/>
        </w:rPr>
        <w:t>fluvastatin</w:t>
      </w:r>
      <w:proofErr w:type="spellEnd"/>
      <w:r w:rsidRPr="00055AB7">
        <w:rPr>
          <w:rFonts w:eastAsia="Times New Roman" w:cstheme="minorHAnsi"/>
          <w:sz w:val="24"/>
          <w:szCs w:val="24"/>
        </w:rPr>
        <w:t xml:space="preserve">, </w:t>
      </w:r>
      <w:proofErr w:type="spellStart"/>
      <w:r w:rsidRPr="00055AB7">
        <w:rPr>
          <w:rFonts w:eastAsia="Times New Roman" w:cstheme="minorHAnsi"/>
          <w:sz w:val="24"/>
          <w:szCs w:val="24"/>
        </w:rPr>
        <w:t>pitavastatin</w:t>
      </w:r>
      <w:proofErr w:type="spellEnd"/>
      <w:r w:rsidRPr="00055AB7">
        <w:rPr>
          <w:rFonts w:eastAsia="Times New Roman" w:cstheme="minorHAnsi"/>
          <w:sz w:val="24"/>
          <w:szCs w:val="24"/>
        </w:rPr>
        <w:t xml:space="preserve">). SAR focused on the </w:t>
      </w:r>
      <w:proofErr w:type="spellStart"/>
      <w:r w:rsidRPr="00055AB7">
        <w:rPr>
          <w:rFonts w:eastAsia="Times New Roman" w:cstheme="minorHAnsi"/>
          <w:sz w:val="24"/>
          <w:szCs w:val="24"/>
        </w:rPr>
        <w:t>dihydroxyheptanoic</w:t>
      </w:r>
      <w:proofErr w:type="spellEnd"/>
      <w:r w:rsidRPr="00055AB7">
        <w:rPr>
          <w:rFonts w:eastAsia="Times New Roman" w:cstheme="minorHAnsi"/>
          <w:sz w:val="24"/>
          <w:szCs w:val="24"/>
        </w:rPr>
        <w:t xml:space="preserve"> acid moiety mimicking HMG-CoA, with lipophilic tails enhancing membrane penetration.</w:t>
      </w:r>
    </w:p>
    <w:p w14:paraId="38304DC5" w14:textId="77777777" w:rsidR="00055AB7" w:rsidRPr="00055AB7" w:rsidRDefault="00055AB7" w:rsidP="00055AB7">
      <w:pPr>
        <w:spacing w:after="0" w:line="240" w:lineRule="auto"/>
        <w:jc w:val="both"/>
        <w:rPr>
          <w:rFonts w:eastAsia="Times New Roman" w:cstheme="minorHAnsi"/>
          <w:sz w:val="24"/>
          <w:szCs w:val="24"/>
        </w:rPr>
      </w:pPr>
    </w:p>
    <w:p w14:paraId="30244633" w14:textId="77777777" w:rsidR="00055AB7" w:rsidRPr="00055AB7" w:rsidRDefault="00055AB7" w:rsidP="00055AB7">
      <w:pPr>
        <w:spacing w:after="0" w:line="240" w:lineRule="auto"/>
        <w:jc w:val="both"/>
        <w:rPr>
          <w:rFonts w:eastAsia="Times New Roman" w:cstheme="minorHAnsi"/>
          <w:sz w:val="24"/>
          <w:szCs w:val="24"/>
        </w:rPr>
      </w:pPr>
      <w:r w:rsidRPr="00BF709C">
        <w:rPr>
          <w:rFonts w:eastAsia="Times New Roman" w:cstheme="minorHAnsi"/>
          <w:b/>
          <w:bCs/>
          <w:sz w:val="24"/>
          <w:szCs w:val="24"/>
        </w:rPr>
        <w:t>Mechanisms</w:t>
      </w:r>
      <w:r w:rsidRPr="00055AB7">
        <w:rPr>
          <w:rFonts w:eastAsia="Times New Roman" w:cstheme="minorHAnsi"/>
          <w:sz w:val="24"/>
          <w:szCs w:val="24"/>
        </w:rPr>
        <w:t xml:space="preserve">: Competitive inhibition of HMGR reduces cholesterol synthesis, upregulating LDL receptors via SREBP-2. Pleiotropic effects include anti-inflammatory actions (e.g., reduced cytokines) and endothelial protection via </w:t>
      </w:r>
      <w:proofErr w:type="spellStart"/>
      <w:r w:rsidRPr="00055AB7">
        <w:rPr>
          <w:rFonts w:eastAsia="Times New Roman" w:cstheme="minorHAnsi"/>
          <w:sz w:val="24"/>
          <w:szCs w:val="24"/>
        </w:rPr>
        <w:t>eNOS</w:t>
      </w:r>
      <w:proofErr w:type="spellEnd"/>
      <w:r w:rsidRPr="00055AB7">
        <w:rPr>
          <w:rFonts w:eastAsia="Times New Roman" w:cstheme="minorHAnsi"/>
          <w:sz w:val="24"/>
          <w:szCs w:val="24"/>
        </w:rPr>
        <w:t xml:space="preserve"> upregulation. Efficacy: LDL-C reductions of 20-60%, with rosuvastatin (40 mg) achieving the highest.</w:t>
      </w:r>
    </w:p>
    <w:p w14:paraId="7AA5DEE0" w14:textId="77777777" w:rsidR="00055AB7" w:rsidRPr="00055AB7" w:rsidRDefault="00055AB7" w:rsidP="00055AB7">
      <w:pPr>
        <w:spacing w:after="0" w:line="240" w:lineRule="auto"/>
        <w:jc w:val="both"/>
        <w:rPr>
          <w:rFonts w:eastAsia="Times New Roman" w:cstheme="minorHAnsi"/>
          <w:sz w:val="24"/>
          <w:szCs w:val="24"/>
        </w:rPr>
      </w:pPr>
    </w:p>
    <w:p w14:paraId="48643B19" w14:textId="46343DD3" w:rsidR="00055AB7" w:rsidRPr="00055AB7" w:rsidRDefault="00055AB7" w:rsidP="00055AB7">
      <w:pPr>
        <w:spacing w:after="0" w:line="240" w:lineRule="auto"/>
        <w:jc w:val="both"/>
        <w:rPr>
          <w:rFonts w:eastAsia="Times New Roman" w:cstheme="minorHAnsi"/>
          <w:sz w:val="24"/>
          <w:szCs w:val="24"/>
        </w:rPr>
      </w:pPr>
      <w:r w:rsidRPr="00BF709C">
        <w:rPr>
          <w:rFonts w:eastAsia="Times New Roman" w:cstheme="minorHAnsi"/>
          <w:b/>
          <w:bCs/>
          <w:sz w:val="24"/>
          <w:szCs w:val="24"/>
        </w:rPr>
        <w:t>Challenges</w:t>
      </w:r>
      <w:r w:rsidRPr="00055AB7">
        <w:rPr>
          <w:rFonts w:eastAsia="Times New Roman" w:cstheme="minorHAnsi"/>
          <w:sz w:val="24"/>
          <w:szCs w:val="24"/>
        </w:rPr>
        <w:t>:</w:t>
      </w:r>
      <w:r w:rsidR="00BF709C">
        <w:rPr>
          <w:rFonts w:eastAsia="Times New Roman" w:cstheme="minorHAnsi"/>
          <w:sz w:val="24"/>
          <w:szCs w:val="24"/>
        </w:rPr>
        <w:t xml:space="preserve"> </w:t>
      </w:r>
      <w:r w:rsidRPr="00055AB7">
        <w:rPr>
          <w:rFonts w:eastAsia="Times New Roman" w:cstheme="minorHAnsi"/>
          <w:sz w:val="24"/>
          <w:szCs w:val="24"/>
        </w:rPr>
        <w:t>Myopathy (1-5% incidence), hepatotoxicity. Nano-designs mitigate this: Atorvastatin-loaded NLCs improve bioavailability 2.4-fold; simvastatin liposomes target vascular endothelium.</w:t>
      </w:r>
    </w:p>
    <w:p w14:paraId="483C1482" w14:textId="77777777" w:rsidR="00055AB7" w:rsidRPr="00055AB7" w:rsidRDefault="00055AB7" w:rsidP="00055AB7">
      <w:pPr>
        <w:spacing w:after="0" w:line="240" w:lineRule="auto"/>
        <w:jc w:val="both"/>
        <w:rPr>
          <w:rFonts w:eastAsia="Times New Roman" w:cstheme="minorHAnsi"/>
          <w:sz w:val="24"/>
          <w:szCs w:val="24"/>
        </w:rPr>
      </w:pPr>
    </w:p>
    <w:p w14:paraId="43EBA4AE" w14:textId="77777777" w:rsidR="00055AB7" w:rsidRPr="00055AB7" w:rsidRDefault="00055AB7" w:rsidP="00055AB7">
      <w:pPr>
        <w:spacing w:after="0" w:line="240" w:lineRule="auto"/>
        <w:jc w:val="both"/>
        <w:rPr>
          <w:rFonts w:eastAsia="Times New Roman" w:cstheme="minorHAnsi"/>
          <w:sz w:val="24"/>
          <w:szCs w:val="24"/>
        </w:rPr>
      </w:pPr>
      <w:r w:rsidRPr="00BF709C">
        <w:rPr>
          <w:rFonts w:eastAsia="Times New Roman" w:cstheme="minorHAnsi"/>
          <w:b/>
          <w:bCs/>
          <w:sz w:val="24"/>
          <w:szCs w:val="24"/>
        </w:rPr>
        <w:t>Recent developments</w:t>
      </w:r>
      <w:r w:rsidRPr="00055AB7">
        <w:rPr>
          <w:rFonts w:eastAsia="Times New Roman" w:cstheme="minorHAnsi"/>
          <w:sz w:val="24"/>
          <w:szCs w:val="24"/>
        </w:rPr>
        <w:t>: Trials like IMPROVE-IT (ezetimibe + simvastatin) showed 6.4% cardiovascular risk reduction; RACING confirmed moderate statin + ezetimibe non-inferiority to high-dose monotherapy.</w:t>
      </w:r>
    </w:p>
    <w:p w14:paraId="42197ECD" w14:textId="77777777" w:rsidR="00055AB7" w:rsidRPr="00055AB7" w:rsidRDefault="00055AB7" w:rsidP="00055AB7">
      <w:pPr>
        <w:spacing w:after="0" w:line="240" w:lineRule="auto"/>
        <w:jc w:val="both"/>
        <w:rPr>
          <w:rFonts w:eastAsia="Times New Roman" w:cstheme="minorHAnsi"/>
          <w:sz w:val="24"/>
          <w:szCs w:val="24"/>
        </w:rPr>
      </w:pPr>
    </w:p>
    <w:p w14:paraId="67226546" w14:textId="1606880C" w:rsidR="00055AB7" w:rsidRPr="00055AB7" w:rsidRDefault="00055AB7" w:rsidP="00055AB7">
      <w:pPr>
        <w:spacing w:after="0" w:line="240" w:lineRule="auto"/>
        <w:jc w:val="both"/>
        <w:rPr>
          <w:rFonts w:eastAsia="Times New Roman" w:cstheme="minorHAnsi"/>
          <w:sz w:val="24"/>
          <w:szCs w:val="24"/>
        </w:rPr>
      </w:pPr>
      <w:proofErr w:type="spellStart"/>
      <w:r w:rsidRPr="00BF709C">
        <w:rPr>
          <w:rFonts w:eastAsia="Times New Roman" w:cstheme="minorHAnsi"/>
          <w:b/>
          <w:bCs/>
          <w:sz w:val="24"/>
          <w:szCs w:val="24"/>
        </w:rPr>
        <w:t>Bempedoic</w:t>
      </w:r>
      <w:proofErr w:type="spellEnd"/>
      <w:r w:rsidRPr="00BF709C">
        <w:rPr>
          <w:rFonts w:eastAsia="Times New Roman" w:cstheme="minorHAnsi"/>
          <w:b/>
          <w:bCs/>
          <w:sz w:val="24"/>
          <w:szCs w:val="24"/>
        </w:rPr>
        <w:t xml:space="preserve"> Acid</w:t>
      </w:r>
      <w:r w:rsidRPr="00055AB7">
        <w:rPr>
          <w:rFonts w:eastAsia="Times New Roman" w:cstheme="minorHAnsi"/>
          <w:sz w:val="24"/>
          <w:szCs w:val="24"/>
        </w:rPr>
        <w:t>: ACLY Inhibitor</w:t>
      </w:r>
    </w:p>
    <w:p w14:paraId="2D94105D" w14:textId="77777777" w:rsidR="00055AB7" w:rsidRPr="00055AB7" w:rsidRDefault="00055AB7" w:rsidP="00055AB7">
      <w:pPr>
        <w:spacing w:after="0" w:line="240" w:lineRule="auto"/>
        <w:jc w:val="both"/>
        <w:rPr>
          <w:rFonts w:eastAsia="Times New Roman" w:cstheme="minorHAnsi"/>
          <w:sz w:val="24"/>
          <w:szCs w:val="24"/>
        </w:rPr>
      </w:pPr>
    </w:p>
    <w:p w14:paraId="244482C6"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 xml:space="preserve">Approved in 2020, </w:t>
      </w:r>
      <w:proofErr w:type="spellStart"/>
      <w:r w:rsidRPr="00055AB7">
        <w:rPr>
          <w:rFonts w:eastAsia="Times New Roman" w:cstheme="minorHAnsi"/>
          <w:sz w:val="24"/>
          <w:szCs w:val="24"/>
        </w:rPr>
        <w:t>bempedoic</w:t>
      </w:r>
      <w:proofErr w:type="spellEnd"/>
      <w:r w:rsidRPr="00055AB7">
        <w:rPr>
          <w:rFonts w:eastAsia="Times New Roman" w:cstheme="minorHAnsi"/>
          <w:sz w:val="24"/>
          <w:szCs w:val="24"/>
        </w:rPr>
        <w:t xml:space="preserve"> acid (</w:t>
      </w:r>
      <w:proofErr w:type="spellStart"/>
      <w:r w:rsidRPr="00055AB7">
        <w:rPr>
          <w:rFonts w:eastAsia="Times New Roman" w:cstheme="minorHAnsi"/>
          <w:sz w:val="24"/>
          <w:szCs w:val="24"/>
        </w:rPr>
        <w:t>Nexletol</w:t>
      </w:r>
      <w:proofErr w:type="spellEnd"/>
      <w:r w:rsidRPr="00055AB7">
        <w:rPr>
          <w:rFonts w:eastAsia="Times New Roman" w:cstheme="minorHAnsi"/>
          <w:sz w:val="24"/>
          <w:szCs w:val="24"/>
        </w:rPr>
        <w:t>) targets ACLY, reducing acetyl-CoA for cholesterol synthesis. Designed as a prodrug activated liver-specifically, avoiding muscle toxicity. Preclinical rodent/pig studies showed LDL-C drops and atherosclerosis regression. Clinical: 15-25% LDL-C reduction as monotherapy, 48% with ezetimibe. Phase 3 CLEAR trials (e.g., CLEAR Outcome) reported 13% cardiovascular event reduction in statin-intolerant patients. Side effects: Hyperuricemia, headaches.</w:t>
      </w:r>
    </w:p>
    <w:p w14:paraId="7359A83D" w14:textId="77777777" w:rsidR="00055AB7" w:rsidRPr="00055AB7" w:rsidRDefault="00055AB7" w:rsidP="00055AB7">
      <w:pPr>
        <w:spacing w:after="0" w:line="240" w:lineRule="auto"/>
        <w:jc w:val="both"/>
        <w:rPr>
          <w:rFonts w:eastAsia="Times New Roman" w:cstheme="minorHAnsi"/>
          <w:sz w:val="24"/>
          <w:szCs w:val="24"/>
        </w:rPr>
      </w:pPr>
    </w:p>
    <w:p w14:paraId="519822D9" w14:textId="7CCB78C0" w:rsidR="00055AB7" w:rsidRPr="00055AB7" w:rsidRDefault="00055AB7" w:rsidP="00055AB7">
      <w:pPr>
        <w:spacing w:after="0" w:line="240" w:lineRule="auto"/>
        <w:jc w:val="both"/>
        <w:rPr>
          <w:rFonts w:eastAsia="Times New Roman" w:cstheme="minorHAnsi"/>
          <w:sz w:val="24"/>
          <w:szCs w:val="24"/>
        </w:rPr>
      </w:pPr>
      <w:r w:rsidRPr="00E50106">
        <w:rPr>
          <w:rFonts w:eastAsia="Times New Roman" w:cstheme="minorHAnsi"/>
          <w:b/>
          <w:bCs/>
          <w:sz w:val="24"/>
          <w:szCs w:val="24"/>
        </w:rPr>
        <w:t>α-</w:t>
      </w:r>
      <w:proofErr w:type="spellStart"/>
      <w:r w:rsidRPr="00E50106">
        <w:rPr>
          <w:rFonts w:eastAsia="Times New Roman" w:cstheme="minorHAnsi"/>
          <w:b/>
          <w:bCs/>
          <w:sz w:val="24"/>
          <w:szCs w:val="24"/>
        </w:rPr>
        <w:t>Asarone</w:t>
      </w:r>
      <w:proofErr w:type="spellEnd"/>
      <w:r w:rsidRPr="00E50106">
        <w:rPr>
          <w:rFonts w:eastAsia="Times New Roman" w:cstheme="minorHAnsi"/>
          <w:b/>
          <w:bCs/>
          <w:sz w:val="24"/>
          <w:szCs w:val="24"/>
        </w:rPr>
        <w:t>-Based Inhibitors</w:t>
      </w:r>
      <w:r w:rsidRPr="00055AB7">
        <w:rPr>
          <w:rFonts w:eastAsia="Times New Roman" w:cstheme="minorHAnsi"/>
          <w:sz w:val="24"/>
          <w:szCs w:val="24"/>
        </w:rPr>
        <w:t>: Novel HMGR Analogs</w:t>
      </w:r>
    </w:p>
    <w:p w14:paraId="547DADE1" w14:textId="77777777" w:rsidR="00055AB7" w:rsidRPr="00055AB7" w:rsidRDefault="00055AB7" w:rsidP="00055AB7">
      <w:pPr>
        <w:spacing w:after="0" w:line="240" w:lineRule="auto"/>
        <w:jc w:val="both"/>
        <w:rPr>
          <w:rFonts w:eastAsia="Times New Roman" w:cstheme="minorHAnsi"/>
          <w:sz w:val="24"/>
          <w:szCs w:val="24"/>
        </w:rPr>
      </w:pPr>
    </w:p>
    <w:p w14:paraId="748482C7" w14:textId="77777777"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Derived from natural α-</w:t>
      </w:r>
      <w:proofErr w:type="spellStart"/>
      <w:r w:rsidRPr="00055AB7">
        <w:rPr>
          <w:rFonts w:eastAsia="Times New Roman" w:cstheme="minorHAnsi"/>
          <w:sz w:val="24"/>
          <w:szCs w:val="24"/>
        </w:rPr>
        <w:t>asarone</w:t>
      </w:r>
      <w:proofErr w:type="spellEnd"/>
      <w:r w:rsidRPr="00055AB7">
        <w:rPr>
          <w:rFonts w:eastAsia="Times New Roman" w:cstheme="minorHAnsi"/>
          <w:sz w:val="24"/>
          <w:szCs w:val="24"/>
        </w:rPr>
        <w:t xml:space="preserve">, these analogs incorporate polar substituents (e.g., hydroxy at C-4) and fibrate-like </w:t>
      </w:r>
      <w:proofErr w:type="spellStart"/>
      <w:r w:rsidRPr="00055AB7">
        <w:rPr>
          <w:rFonts w:eastAsia="Times New Roman" w:cstheme="minorHAnsi"/>
          <w:sz w:val="24"/>
          <w:szCs w:val="24"/>
        </w:rPr>
        <w:t>phenoxyacetic</w:t>
      </w:r>
      <w:proofErr w:type="spellEnd"/>
      <w:r w:rsidRPr="00055AB7">
        <w:rPr>
          <w:rFonts w:eastAsia="Times New Roman" w:cstheme="minorHAnsi"/>
          <w:sz w:val="24"/>
          <w:szCs w:val="24"/>
        </w:rPr>
        <w:t xml:space="preserve"> acid. Synthesis: Baeyer-</w:t>
      </w:r>
      <w:proofErr w:type="spellStart"/>
      <w:r w:rsidRPr="00055AB7">
        <w:rPr>
          <w:rFonts w:eastAsia="Times New Roman" w:cstheme="minorHAnsi"/>
          <w:sz w:val="24"/>
          <w:szCs w:val="24"/>
        </w:rPr>
        <w:t>Villiger</w:t>
      </w:r>
      <w:proofErr w:type="spellEnd"/>
      <w:r w:rsidRPr="00055AB7">
        <w:rPr>
          <w:rFonts w:eastAsia="Times New Roman" w:cstheme="minorHAnsi"/>
          <w:sz w:val="24"/>
          <w:szCs w:val="24"/>
        </w:rPr>
        <w:t xml:space="preserve"> oxidation, hydrolysis, etherification, Claisen rearrangement (yields 60-92%). Docking showed better binding than α-</w:t>
      </w:r>
      <w:proofErr w:type="spellStart"/>
      <w:r w:rsidRPr="00055AB7">
        <w:rPr>
          <w:rFonts w:eastAsia="Times New Roman" w:cstheme="minorHAnsi"/>
          <w:sz w:val="24"/>
          <w:szCs w:val="24"/>
        </w:rPr>
        <w:t>asarone</w:t>
      </w:r>
      <w:proofErr w:type="spellEnd"/>
      <w:r w:rsidRPr="00055AB7">
        <w:rPr>
          <w:rFonts w:eastAsia="Times New Roman" w:cstheme="minorHAnsi"/>
          <w:sz w:val="24"/>
          <w:szCs w:val="24"/>
        </w:rPr>
        <w:t xml:space="preserve"> (IC50 0.0665-0.1350 mM vs. simvastatin's 0.0952 mM). In vivo: 50-100 mg/kg reduced </w:t>
      </w:r>
      <w:r w:rsidRPr="00055AB7">
        <w:rPr>
          <w:rFonts w:eastAsia="Times New Roman" w:cstheme="minorHAnsi"/>
          <w:sz w:val="24"/>
          <w:szCs w:val="24"/>
        </w:rPr>
        <w:lastRenderedPageBreak/>
        <w:t>total cholesterol 76.85%, LDL-C 66.67% in mice. Evaluation used novel S. pombe model for enzyme inhibition.</w:t>
      </w:r>
    </w:p>
    <w:p w14:paraId="1A99F7AB" w14:textId="77777777" w:rsidR="00055AB7" w:rsidRPr="00055AB7" w:rsidRDefault="00055AB7" w:rsidP="00055AB7">
      <w:pPr>
        <w:spacing w:after="0" w:line="240" w:lineRule="auto"/>
        <w:jc w:val="both"/>
        <w:rPr>
          <w:rFonts w:eastAsia="Times New Roman" w:cstheme="minorHAnsi"/>
          <w:sz w:val="24"/>
          <w:szCs w:val="24"/>
        </w:rPr>
      </w:pPr>
    </w:p>
    <w:p w14:paraId="1FBF19D7" w14:textId="370A721E" w:rsidR="00055AB7" w:rsidRPr="00E50106" w:rsidRDefault="00055AB7" w:rsidP="00055AB7">
      <w:pPr>
        <w:spacing w:after="0" w:line="240" w:lineRule="auto"/>
        <w:jc w:val="both"/>
        <w:rPr>
          <w:rFonts w:eastAsia="Times New Roman" w:cstheme="minorHAnsi"/>
          <w:b/>
          <w:bCs/>
          <w:sz w:val="24"/>
          <w:szCs w:val="24"/>
        </w:rPr>
      </w:pPr>
      <w:r w:rsidRPr="00E50106">
        <w:rPr>
          <w:rFonts w:eastAsia="Times New Roman" w:cstheme="minorHAnsi"/>
          <w:b/>
          <w:bCs/>
          <w:sz w:val="24"/>
          <w:szCs w:val="24"/>
        </w:rPr>
        <w:t>Other Novel Agents</w:t>
      </w:r>
    </w:p>
    <w:p w14:paraId="014F01DC" w14:textId="77777777" w:rsidR="00055AB7" w:rsidRPr="00055AB7" w:rsidRDefault="00055AB7" w:rsidP="00055AB7">
      <w:pPr>
        <w:spacing w:after="0" w:line="240" w:lineRule="auto"/>
        <w:jc w:val="both"/>
        <w:rPr>
          <w:rFonts w:eastAsia="Times New Roman" w:cstheme="minorHAnsi"/>
          <w:sz w:val="24"/>
          <w:szCs w:val="24"/>
        </w:rPr>
      </w:pPr>
    </w:p>
    <w:p w14:paraId="4F07039A" w14:textId="20D8C5B8"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Linear Acetamides: Designed to inhibit HMGR or absorption, with SAR emphasizing acetamide chains. Statins like atorvastatin serve as benchmarks.</w:t>
      </w:r>
    </w:p>
    <w:p w14:paraId="5B220B01" w14:textId="77777777" w:rsidR="00055AB7" w:rsidRPr="00055AB7" w:rsidRDefault="00055AB7" w:rsidP="00055AB7">
      <w:pPr>
        <w:spacing w:after="0" w:line="240" w:lineRule="auto"/>
        <w:jc w:val="both"/>
        <w:rPr>
          <w:rFonts w:eastAsia="Times New Roman" w:cstheme="minorHAnsi"/>
          <w:sz w:val="24"/>
          <w:szCs w:val="24"/>
        </w:rPr>
      </w:pPr>
    </w:p>
    <w:p w14:paraId="440D056C" w14:textId="12762056"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Phytochemicals: Plant-derived (e.g., via p53 modulation) target mevalonate pathway, offering natural alternatives.</w:t>
      </w:r>
    </w:p>
    <w:p w14:paraId="4295D4D4" w14:textId="77777777" w:rsidR="00055AB7" w:rsidRPr="00055AB7" w:rsidRDefault="00055AB7" w:rsidP="00055AB7">
      <w:pPr>
        <w:spacing w:after="0" w:line="240" w:lineRule="auto"/>
        <w:jc w:val="both"/>
        <w:rPr>
          <w:rFonts w:eastAsia="Times New Roman" w:cstheme="minorHAnsi"/>
          <w:sz w:val="24"/>
          <w:szCs w:val="24"/>
        </w:rPr>
      </w:pPr>
    </w:p>
    <w:p w14:paraId="0912A5A1" w14:textId="750B67EF" w:rsidR="00055AB7" w:rsidRPr="00055AB7"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Imidazolines and Naphthalen-2-Yl Derivative</w:t>
      </w:r>
      <w:r w:rsidR="00E50106">
        <w:rPr>
          <w:rFonts w:eastAsia="Times New Roman" w:cstheme="minorHAnsi"/>
          <w:sz w:val="24"/>
          <w:szCs w:val="24"/>
        </w:rPr>
        <w:t>s</w:t>
      </w:r>
      <w:r w:rsidRPr="00055AB7">
        <w:rPr>
          <w:rFonts w:eastAsia="Times New Roman" w:cstheme="minorHAnsi"/>
          <w:sz w:val="24"/>
          <w:szCs w:val="24"/>
        </w:rPr>
        <w:t>: ACAT inhibitors reduce esterification; SAR studies optimized for dual cholesterol ester/ether inhibition.</w:t>
      </w:r>
    </w:p>
    <w:p w14:paraId="35C96CBB" w14:textId="77777777" w:rsidR="00055AB7" w:rsidRPr="00055AB7" w:rsidRDefault="00055AB7" w:rsidP="00055AB7">
      <w:pPr>
        <w:spacing w:after="0" w:line="240" w:lineRule="auto"/>
        <w:jc w:val="both"/>
        <w:rPr>
          <w:rFonts w:eastAsia="Times New Roman" w:cstheme="minorHAnsi"/>
          <w:sz w:val="24"/>
          <w:szCs w:val="24"/>
        </w:rPr>
      </w:pPr>
    </w:p>
    <w:p w14:paraId="2448DFBB" w14:textId="0B5D060C" w:rsidR="00055AB7" w:rsidRPr="002E0BC2" w:rsidRDefault="00055AB7" w:rsidP="00055AB7">
      <w:pPr>
        <w:spacing w:after="0" w:line="240" w:lineRule="auto"/>
        <w:jc w:val="both"/>
        <w:rPr>
          <w:rFonts w:eastAsia="Times New Roman" w:cstheme="minorHAnsi"/>
          <w:sz w:val="24"/>
          <w:szCs w:val="24"/>
        </w:rPr>
      </w:pPr>
      <w:r w:rsidRPr="00055AB7">
        <w:rPr>
          <w:rFonts w:eastAsia="Times New Roman" w:cstheme="minorHAnsi"/>
          <w:sz w:val="24"/>
          <w:szCs w:val="24"/>
        </w:rPr>
        <w:t>In summary, the design of antilipidemic agents targeting cholesterol biosynthesis has advanced from empirical discoveries to sophisticated, multi-faceted strategies, promising better outcomes for hyperlipidemia management.</w:t>
      </w:r>
    </w:p>
    <w:p w14:paraId="1ABBDA62" w14:textId="77777777" w:rsidR="00055AB7" w:rsidRPr="00D14C02" w:rsidRDefault="00055AB7" w:rsidP="00055AB7">
      <w:pPr>
        <w:jc w:val="both"/>
        <w:rPr>
          <w:rFonts w:cstheme="minorHAnsi"/>
          <w:sz w:val="36"/>
          <w:szCs w:val="36"/>
        </w:rPr>
      </w:pPr>
    </w:p>
    <w:p w14:paraId="1CFA29E2" w14:textId="77777777" w:rsidR="00E30CAA" w:rsidRDefault="00E30CAA"/>
    <w:sectPr w:rsidR="00E30CAA" w:rsidSect="00B4051A">
      <w:pgSz w:w="12240" w:h="15840"/>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509E"/>
    <w:multiLevelType w:val="hybridMultilevel"/>
    <w:tmpl w:val="DD96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B7"/>
    <w:rsid w:val="00055AB7"/>
    <w:rsid w:val="001065AF"/>
    <w:rsid w:val="002E4962"/>
    <w:rsid w:val="003A02FD"/>
    <w:rsid w:val="006A04C7"/>
    <w:rsid w:val="008C4E36"/>
    <w:rsid w:val="00BF709C"/>
    <w:rsid w:val="00E30CAA"/>
    <w:rsid w:val="00E5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95FE"/>
  <w15:chartTrackingRefBased/>
  <w15:docId w15:val="{D267E46F-8E2D-4220-A586-1EBEBFA8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A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4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C7EA4-6E26-4F19-9471-B033562EF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dc:creator>
  <cp:keywords/>
  <dc:description/>
  <cp:lastModifiedBy>Chinedu</cp:lastModifiedBy>
  <cp:revision>11</cp:revision>
  <dcterms:created xsi:type="dcterms:W3CDTF">2025-08-25T04:30:00Z</dcterms:created>
  <dcterms:modified xsi:type="dcterms:W3CDTF">2025-08-25T04:54:00Z</dcterms:modified>
</cp:coreProperties>
</file>