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widowControl/>
      </w:pPr>
    </w:p>
    <w:p>
      <w:pPr>
        <w:widowControl/>
      </w:pPr>
    </w:p>
    <w:p>
      <w:pPr>
        <w:widowControl/>
        <w:jc w:val="center"/>
      </w:pPr>
      <w:r>
        <w:rPr>
          <w:b/>
          <w:color w:val="0B6FB8"/>
          <w:sz w:val="22"/>
        </w:rPr>
        <w:t>OPERATIONS GUIDE</w:t>
      </w:r>
    </w:p>
    <w:p>
      <w:pPr>
        <w:pStyle w:val="Title"/>
        <w:widowControl/>
        <w:jc w:val="center"/>
      </w:pPr>
      <w:r>
        <w:t>Membership, Paid Access</w:t>
        <w:br/>
        <w:t>and Payments</w:t>
      </w:r>
    </w:p>
    <w:p>
      <w:pPr>
        <w:pStyle w:val="Subtitle"/>
        <w:widowControl/>
        <w:jc w:val="center"/>
      </w:pPr>
      <w:r>
        <w:t>For KengaLearn operators and organisations running their own Chisimba service</w:t>
      </w:r>
    </w:p>
    <w:p>
      <w:pPr>
        <w:widowControl/>
      </w:pPr>
    </w:p>
    <w:p>
      <w:pPr>
        <w:widowControl/>
        <w:jc w:val="center"/>
      </w:pPr>
      <w:r>
        <w:rPr>
          <w:b/>
          <w:color w:val="555F6B"/>
        </w:rPr>
        <w:t>Operational baseline • 25 August 2026</w:t>
      </w:r>
    </w:p>
    <w:p>
      <w:pPr>
        <w:widowControl/>
      </w:pPr>
    </w:p>
    <w:p>
      <w:pPr>
        <w:pStyle w:val="GuideNote"/>
        <w:shd w:fill="E8F3FA"/>
        <w:widowControl/>
        <w:pBdr>
          <w:left w:val="single" w:sz="18" w:space="8" w:color="8ABBDD"/>
        </w:pBdr>
      </w:pPr>
      <w:r>
        <w:rPr>
          <w:b/>
        </w:rPr>
        <w:t xml:space="preserve">Status  </w:t>
      </w:r>
      <w:r>
        <w:t>The membership, private-admission and provider-neutral payment foundations are implemented and tested with a deterministic fake provider. Yoco and PayPal adapter procedures are marked as planned until their sandbox integrations are complete.</w:t>
      </w:r>
    </w:p>
    <w:p>
      <w:pPr>
        <w:widowControl/>
      </w:pPr>
      <w:r>
        <w:br w:type="page"/>
      </w:r>
    </w:p>
    <w:p>
      <w:pPr>
        <w:pStyle w:val="Heading1"/>
        <w:widowControl/>
      </w:pPr>
      <w:r>
        <w:t>How to use this guide</w:t>
      </w:r>
    </w:p>
    <w:p>
      <w:pPr>
        <w:widowControl/>
      </w:pPr>
      <w:r>
        <w:t>This guide explains the operating decisions behind paid access and the practical tasks needed to manage learners safely. It is written for site administrators, Membership Managers and customer support staff. It deliberately separates money confirmation from access decisions.</w:t>
      </w:r>
    </w:p>
    <w:p>
      <w:pPr>
        <w:pStyle w:val="GuideWarning"/>
        <w:shd w:fill="FFF4D6"/>
        <w:widowControl/>
        <w:pBdr>
          <w:left w:val="single" w:sz="18" w:space="8" w:color="D3A52A"/>
        </w:pBdr>
      </w:pPr>
      <w:r>
        <w:rPr>
          <w:b/>
        </w:rPr>
        <w:t xml:space="preserve">Golden rule  </w:t>
      </w:r>
      <w:r>
        <w:t>A browser returning from a checkout never proves that money moved. Chisimba grants or extends access only after it receives and verifies a provider event.</w:t>
      </w:r>
    </w:p>
    <w:p>
      <w:pPr>
        <w:pStyle w:val="Heading2"/>
        <w:widowControl/>
      </w:pPr>
      <w:r>
        <w:t>Current and planned capabilities</w:t>
      </w:r>
    </w:p>
    <w:tbl>
      <w:tblPr>
        <w:tblStyle w:val="TableGrid"/>
        <w:tblW w:type="dxa" w:w="9360"/>
        <w:tblLayout w:type="fixed"/>
        <w:tblLook w:firstColumn="1" w:firstRow="1" w:lastColumn="0" w:lastRow="0" w:noHBand="0" w:noVBand="1" w:val="04A0"/>
        <w:jc w:val="left"/>
        <w:tblInd w:w="120" w:type="dxa"/>
      </w:tblPr>
      <w:tblGrid>
        <w:gridCol w:w="2500"/>
        <w:gridCol w:w="1500"/>
        <w:gridCol w:w="5360"/>
      </w:tblGrid>
      <w:tr>
        <w:trPr>
          <w:tblHeader w:val="true"/>
        </w:trPr>
        <w:tc>
          <w:tcPr>
            <w:tcW w:type="dxa" w:w="2500"/>
            <w:shd w:fill="E8F3FA"/>
            <w:tcMar>
              <w:top w:w="80" w:type="dxa"/>
              <w:start w:w="120" w:type="dxa"/>
              <w:bottom w:w="80" w:type="dxa"/>
              <w:end w:w="120" w:type="dxa"/>
            </w:tcMar>
            <w:vAlign w:val="center"/>
          </w:tcPr>
          <w:p>
            <w:pPr>
              <w:spacing w:after="40" w:line="264" w:lineRule="auto"/>
            </w:pPr>
            <w:r>
              <w:rPr>
                <w:rFonts w:ascii="Calibri" w:hAnsi="Calibri"/>
                <w:b/>
                <w:color w:val="0B2545"/>
                <w:sz w:val="19"/>
              </w:rPr>
              <w:t>Capability</w:t>
            </w:r>
          </w:p>
        </w:tc>
        <w:tc>
          <w:tcPr>
            <w:tcW w:type="dxa" w:w="1500"/>
            <w:shd w:fill="E8F3FA"/>
            <w:tcMar>
              <w:top w:w="80" w:type="dxa"/>
              <w:start w:w="120" w:type="dxa"/>
              <w:bottom w:w="80" w:type="dxa"/>
              <w:end w:w="120" w:type="dxa"/>
            </w:tcMar>
            <w:vAlign w:val="center"/>
          </w:tcPr>
          <w:p>
            <w:pPr>
              <w:spacing w:after="40" w:line="264" w:lineRule="auto"/>
            </w:pPr>
            <w:r>
              <w:rPr>
                <w:rFonts w:ascii="Calibri" w:hAnsi="Calibri"/>
                <w:b/>
                <w:color w:val="0B2545"/>
                <w:sz w:val="19"/>
              </w:rPr>
              <w:t>Status</w:t>
            </w:r>
          </w:p>
        </w:tc>
        <w:tc>
          <w:tcPr>
            <w:tcW w:type="dxa" w:w="5360"/>
            <w:shd w:fill="E8F3FA"/>
            <w:tcMar>
              <w:top w:w="80" w:type="dxa"/>
              <w:start w:w="120" w:type="dxa"/>
              <w:bottom w:w="80" w:type="dxa"/>
              <w:end w:w="120" w:type="dxa"/>
            </w:tcMar>
            <w:vAlign w:val="center"/>
          </w:tcPr>
          <w:p>
            <w:pPr>
              <w:spacing w:after="40" w:line="264" w:lineRule="auto"/>
            </w:pPr>
            <w:r>
              <w:rPr>
                <w:rFonts w:ascii="Calibri" w:hAnsi="Calibri"/>
                <w:b/>
                <w:color w:val="0B2545"/>
                <w:sz w:val="19"/>
              </w:rPr>
              <w:t>Operator meaning</w:t>
            </w:r>
          </w:p>
        </w:tc>
      </w:tr>
      <w:tr>
        <w:tc>
          <w:tcPr>
            <w:tcW w:type="dxa" w:w="2500"/>
            <w:tcMar>
              <w:top w:w="80" w:type="dxa"/>
              <w:start w:w="120" w:type="dxa"/>
              <w:bottom w:w="80" w:type="dxa"/>
              <w:end w:w="120" w:type="dxa"/>
            </w:tcMar>
            <w:vAlign w:val="center"/>
          </w:tcPr>
          <w:p>
            <w:pPr>
              <w:spacing w:after="40" w:line="264" w:lineRule="auto"/>
            </w:pPr>
            <w:r>
              <w:rPr>
                <w:rFonts w:ascii="Calibri" w:hAnsi="Calibri"/>
                <w:color w:val="0B2545"/>
                <w:sz w:val="19"/>
              </w:rPr>
              <w:t>Membership tiers and periods</w:t>
            </w:r>
          </w:p>
        </w:tc>
        <w:tc>
          <w:tcPr>
            <w:tcW w:type="dxa" w:w="1500"/>
            <w:shd w:fill="E8F6EE"/>
            <w:tcMar>
              <w:top w:w="80" w:type="dxa"/>
              <w:start w:w="120" w:type="dxa"/>
              <w:bottom w:w="80" w:type="dxa"/>
              <w:end w:w="120" w:type="dxa"/>
            </w:tcMar>
            <w:vAlign w:val="center"/>
          </w:tcPr>
          <w:p>
            <w:pPr>
              <w:spacing w:after="40" w:line="264" w:lineRule="auto"/>
            </w:pPr>
            <w:r>
              <w:rPr>
                <w:rFonts w:ascii="Calibri" w:hAnsi="Calibri"/>
                <w:color w:val="0B2545"/>
                <w:sz w:val="19"/>
              </w:rPr>
              <w:t>Current</w:t>
            </w:r>
          </w:p>
        </w:tc>
        <w:tc>
          <w:tcPr>
            <w:tcW w:type="dxa" w:w="5360"/>
            <w:tcMar>
              <w:top w:w="80" w:type="dxa"/>
              <w:start w:w="120" w:type="dxa"/>
              <w:bottom w:w="80" w:type="dxa"/>
              <w:end w:w="120" w:type="dxa"/>
            </w:tcMar>
            <w:vAlign w:val="center"/>
          </w:tcPr>
          <w:p>
            <w:pPr>
              <w:spacing w:after="40" w:line="264" w:lineRule="auto"/>
            </w:pPr>
            <w:r>
              <w:rPr>
                <w:rFonts w:ascii="Calibri" w:hAnsi="Calibri"/>
                <w:color w:val="0B2545"/>
                <w:sz w:val="19"/>
              </w:rPr>
              <w:t>Create, edit, place in grace, reinstate and retain history.</w:t>
            </w:r>
          </w:p>
        </w:tc>
      </w:tr>
      <w:tr>
        <w:tc>
          <w:tcPr>
            <w:tcW w:type="dxa" w:w="2500"/>
            <w:tcMar>
              <w:top w:w="80" w:type="dxa"/>
              <w:start w:w="120" w:type="dxa"/>
              <w:bottom w:w="80" w:type="dxa"/>
              <w:end w:w="120" w:type="dxa"/>
            </w:tcMar>
            <w:vAlign w:val="center"/>
          </w:tcPr>
          <w:p>
            <w:pPr>
              <w:spacing w:after="40" w:line="264" w:lineRule="auto"/>
            </w:pPr>
            <w:r>
              <w:rPr>
                <w:rFonts w:ascii="Calibri" w:hAnsi="Calibri"/>
                <w:color w:val="0B2545"/>
                <w:sz w:val="19"/>
              </w:rPr>
              <w:t>Private-course admission</w:t>
            </w:r>
          </w:p>
        </w:tc>
        <w:tc>
          <w:tcPr>
            <w:tcW w:type="dxa" w:w="1500"/>
            <w:shd w:fill="E8F6EE"/>
            <w:tcMar>
              <w:top w:w="80" w:type="dxa"/>
              <w:start w:w="120" w:type="dxa"/>
              <w:bottom w:w="80" w:type="dxa"/>
              <w:end w:w="120" w:type="dxa"/>
            </w:tcMar>
            <w:vAlign w:val="center"/>
          </w:tcPr>
          <w:p>
            <w:pPr>
              <w:spacing w:after="40" w:line="264" w:lineRule="auto"/>
            </w:pPr>
            <w:r>
              <w:rPr>
                <w:rFonts w:ascii="Calibri" w:hAnsi="Calibri"/>
                <w:color w:val="0B2545"/>
                <w:sz w:val="19"/>
              </w:rPr>
              <w:t>Current</w:t>
            </w:r>
          </w:p>
        </w:tc>
        <w:tc>
          <w:tcPr>
            <w:tcW w:type="dxa" w:w="5360"/>
            <w:tcMar>
              <w:top w:w="80" w:type="dxa"/>
              <w:start w:w="120" w:type="dxa"/>
              <w:bottom w:w="80" w:type="dxa"/>
              <w:end w:w="120" w:type="dxa"/>
            </w:tcMar>
            <w:vAlign w:val="center"/>
          </w:tcPr>
          <w:p>
            <w:pPr>
              <w:spacing w:after="40" w:line="264" w:lineRule="auto"/>
            </w:pPr>
            <w:r>
              <w:rPr>
                <w:rFonts w:ascii="Calibri" w:hAnsi="Calibri"/>
                <w:color w:val="0B2545"/>
                <w:sz w:val="19"/>
              </w:rPr>
              <w:t>Automatic after verified payment, or manual approval.</w:t>
            </w:r>
          </w:p>
        </w:tc>
      </w:tr>
      <w:tr>
        <w:tc>
          <w:tcPr>
            <w:tcW w:type="dxa" w:w="2500"/>
            <w:tcMar>
              <w:top w:w="80" w:type="dxa"/>
              <w:start w:w="120" w:type="dxa"/>
              <w:bottom w:w="80" w:type="dxa"/>
              <w:end w:w="120" w:type="dxa"/>
            </w:tcMar>
            <w:vAlign w:val="center"/>
          </w:tcPr>
          <w:p>
            <w:pPr>
              <w:spacing w:after="40" w:line="264" w:lineRule="auto"/>
            </w:pPr>
            <w:r>
              <w:rPr>
                <w:rFonts w:ascii="Calibri" w:hAnsi="Calibri"/>
                <w:color w:val="0B2545"/>
                <w:sz w:val="19"/>
              </w:rPr>
              <w:t>Fake payment provider</w:t>
            </w:r>
          </w:p>
        </w:tc>
        <w:tc>
          <w:tcPr>
            <w:tcW w:type="dxa" w:w="1500"/>
            <w:shd w:fill="E8F6EE"/>
            <w:tcMar>
              <w:top w:w="80" w:type="dxa"/>
              <w:start w:w="120" w:type="dxa"/>
              <w:bottom w:w="80" w:type="dxa"/>
              <w:end w:w="120" w:type="dxa"/>
            </w:tcMar>
            <w:vAlign w:val="center"/>
          </w:tcPr>
          <w:p>
            <w:pPr>
              <w:spacing w:after="40" w:line="264" w:lineRule="auto"/>
            </w:pPr>
            <w:r>
              <w:rPr>
                <w:rFonts w:ascii="Calibri" w:hAnsi="Calibri"/>
                <w:color w:val="0B2545"/>
                <w:sz w:val="19"/>
              </w:rPr>
              <w:t>Current</w:t>
            </w:r>
          </w:p>
        </w:tc>
        <w:tc>
          <w:tcPr>
            <w:tcW w:type="dxa" w:w="5360"/>
            <w:tcMar>
              <w:top w:w="80" w:type="dxa"/>
              <w:start w:w="120" w:type="dxa"/>
              <w:bottom w:w="80" w:type="dxa"/>
              <w:end w:w="120" w:type="dxa"/>
            </w:tcMar>
            <w:vAlign w:val="center"/>
          </w:tcPr>
          <w:p>
            <w:pPr>
              <w:spacing w:after="40" w:line="264" w:lineRule="auto"/>
            </w:pPr>
            <w:r>
              <w:rPr>
                <w:rFonts w:ascii="Calibri" w:hAnsi="Calibri"/>
                <w:color w:val="0B2545"/>
                <w:sz w:val="19"/>
              </w:rPr>
              <w:t>Safe test outcomes; no card or money movement.</w:t>
            </w:r>
          </w:p>
        </w:tc>
      </w:tr>
      <w:tr>
        <w:tc>
          <w:tcPr>
            <w:tcW w:type="dxa" w:w="2500"/>
            <w:tcMar>
              <w:top w:w="80" w:type="dxa"/>
              <w:start w:w="120" w:type="dxa"/>
              <w:bottom w:w="80" w:type="dxa"/>
              <w:end w:w="120" w:type="dxa"/>
            </w:tcMar>
            <w:vAlign w:val="center"/>
          </w:tcPr>
          <w:p>
            <w:pPr>
              <w:spacing w:after="40" w:line="264" w:lineRule="auto"/>
            </w:pPr>
            <w:r>
              <w:rPr>
                <w:rFonts w:ascii="Calibri" w:hAnsi="Calibri"/>
                <w:color w:val="0B2545"/>
                <w:sz w:val="19"/>
              </w:rPr>
              <w:t>Payment operations and event history</w:t>
            </w:r>
          </w:p>
        </w:tc>
        <w:tc>
          <w:tcPr>
            <w:tcW w:type="dxa" w:w="1500"/>
            <w:shd w:fill="E8F6EE"/>
            <w:tcMar>
              <w:top w:w="80" w:type="dxa"/>
              <w:start w:w="120" w:type="dxa"/>
              <w:bottom w:w="80" w:type="dxa"/>
              <w:end w:w="120" w:type="dxa"/>
            </w:tcMar>
            <w:vAlign w:val="center"/>
          </w:tcPr>
          <w:p>
            <w:pPr>
              <w:spacing w:after="40" w:line="264" w:lineRule="auto"/>
            </w:pPr>
            <w:r>
              <w:rPr>
                <w:rFonts w:ascii="Calibri" w:hAnsi="Calibri"/>
                <w:color w:val="0B2545"/>
                <w:sz w:val="19"/>
              </w:rPr>
              <w:t>Current</w:t>
            </w:r>
          </w:p>
        </w:tc>
        <w:tc>
          <w:tcPr>
            <w:tcW w:type="dxa" w:w="5360"/>
            <w:tcMar>
              <w:top w:w="80" w:type="dxa"/>
              <w:start w:w="120" w:type="dxa"/>
              <w:bottom w:w="80" w:type="dxa"/>
              <w:end w:w="120" w:type="dxa"/>
            </w:tcMar>
            <w:vAlign w:val="center"/>
          </w:tcPr>
          <w:p>
            <w:pPr>
              <w:spacing w:after="40" w:line="264" w:lineRule="auto"/>
            </w:pPr>
            <w:r>
              <w:rPr>
                <w:rFonts w:ascii="Calibri" w:hAnsi="Calibri"/>
                <w:color w:val="0B2545"/>
                <w:sz w:val="19"/>
              </w:rPr>
              <w:t>Review checkout state, verified events and reconciliation.</w:t>
            </w:r>
          </w:p>
        </w:tc>
      </w:tr>
      <w:tr>
        <w:tc>
          <w:tcPr>
            <w:tcW w:type="dxa" w:w="2500"/>
            <w:tcMar>
              <w:top w:w="80" w:type="dxa"/>
              <w:start w:w="120" w:type="dxa"/>
              <w:bottom w:w="80" w:type="dxa"/>
              <w:end w:w="120" w:type="dxa"/>
            </w:tcMar>
            <w:vAlign w:val="center"/>
          </w:tcPr>
          <w:p>
            <w:pPr>
              <w:spacing w:after="40" w:line="264" w:lineRule="auto"/>
            </w:pPr>
            <w:r>
              <w:rPr>
                <w:rFonts w:ascii="Calibri" w:hAnsi="Calibri"/>
                <w:color w:val="0B2545"/>
                <w:sz w:val="19"/>
              </w:rPr>
              <w:t>Yoco once-off payments</w:t>
            </w:r>
          </w:p>
        </w:tc>
        <w:tc>
          <w:tcPr>
            <w:tcW w:type="dxa" w:w="1500"/>
            <w:shd w:fill="FFF4D6"/>
            <w:tcMar>
              <w:top w:w="80" w:type="dxa"/>
              <w:start w:w="120" w:type="dxa"/>
              <w:bottom w:w="80" w:type="dxa"/>
              <w:end w:w="120" w:type="dxa"/>
            </w:tcMar>
            <w:vAlign w:val="center"/>
          </w:tcPr>
          <w:p>
            <w:pPr>
              <w:spacing w:after="40" w:line="264" w:lineRule="auto"/>
            </w:pPr>
            <w:r>
              <w:rPr>
                <w:rFonts w:ascii="Calibri" w:hAnsi="Calibri"/>
                <w:color w:val="0B2545"/>
                <w:sz w:val="19"/>
              </w:rPr>
              <w:t>Planned</w:t>
            </w:r>
          </w:p>
        </w:tc>
        <w:tc>
          <w:tcPr>
            <w:tcW w:type="dxa" w:w="5360"/>
            <w:tcMar>
              <w:top w:w="80" w:type="dxa"/>
              <w:start w:w="120" w:type="dxa"/>
              <w:bottom w:w="80" w:type="dxa"/>
              <w:end w:w="120" w:type="dxa"/>
            </w:tcMar>
            <w:vAlign w:val="center"/>
          </w:tcPr>
          <w:p>
            <w:pPr>
              <w:spacing w:after="40" w:line="264" w:lineRule="auto"/>
            </w:pPr>
            <w:r>
              <w:rPr>
                <w:rFonts w:ascii="Calibri" w:hAnsi="Calibri"/>
                <w:color w:val="0B2545"/>
                <w:sz w:val="19"/>
              </w:rPr>
              <w:t>ZAR once-off checkout and refunds after sandbox integration.</w:t>
            </w:r>
          </w:p>
        </w:tc>
      </w:tr>
      <w:tr>
        <w:tc>
          <w:tcPr>
            <w:tcW w:type="dxa" w:w="2500"/>
            <w:tcMar>
              <w:top w:w="80" w:type="dxa"/>
              <w:start w:w="120" w:type="dxa"/>
              <w:bottom w:w="80" w:type="dxa"/>
              <w:end w:w="120" w:type="dxa"/>
            </w:tcMar>
            <w:vAlign w:val="center"/>
          </w:tcPr>
          <w:p>
            <w:pPr>
              <w:spacing w:after="40" w:line="264" w:lineRule="auto"/>
            </w:pPr>
            <w:r>
              <w:rPr>
                <w:rFonts w:ascii="Calibri" w:hAnsi="Calibri"/>
                <w:color w:val="0B2545"/>
                <w:sz w:val="19"/>
              </w:rPr>
              <w:t>PayPal payments/subscriptions</w:t>
            </w:r>
          </w:p>
        </w:tc>
        <w:tc>
          <w:tcPr>
            <w:tcW w:type="dxa" w:w="1500"/>
            <w:shd w:fill="FFF4D6"/>
            <w:tcMar>
              <w:top w:w="80" w:type="dxa"/>
              <w:start w:w="120" w:type="dxa"/>
              <w:bottom w:w="80" w:type="dxa"/>
              <w:end w:w="120" w:type="dxa"/>
            </w:tcMar>
            <w:vAlign w:val="center"/>
          </w:tcPr>
          <w:p>
            <w:pPr>
              <w:spacing w:after="40" w:line="264" w:lineRule="auto"/>
            </w:pPr>
            <w:r>
              <w:rPr>
                <w:rFonts w:ascii="Calibri" w:hAnsi="Calibri"/>
                <w:color w:val="0B2545"/>
                <w:sz w:val="19"/>
              </w:rPr>
              <w:t>Planned</w:t>
            </w:r>
          </w:p>
        </w:tc>
        <w:tc>
          <w:tcPr>
            <w:tcW w:type="dxa" w:w="5360"/>
            <w:tcMar>
              <w:top w:w="80" w:type="dxa"/>
              <w:start w:w="120" w:type="dxa"/>
              <w:bottom w:w="80" w:type="dxa"/>
              <w:end w:w="120" w:type="dxa"/>
            </w:tcMar>
            <w:vAlign w:val="center"/>
          </w:tcPr>
          <w:p>
            <w:pPr>
              <w:spacing w:after="40" w:line="264" w:lineRule="auto"/>
            </w:pPr>
            <w:r>
              <w:rPr>
                <w:rFonts w:ascii="Calibri" w:hAnsi="Calibri"/>
                <w:color w:val="0B2545"/>
                <w:sz w:val="19"/>
              </w:rPr>
              <w:t>Once-off and recurring capabilities subject to account support.</w:t>
            </w:r>
          </w:p>
        </w:tc>
      </w:tr>
      <w:tr>
        <w:tc>
          <w:tcPr>
            <w:tcW w:type="dxa" w:w="2500"/>
            <w:tcMar>
              <w:top w:w="80" w:type="dxa"/>
              <w:start w:w="120" w:type="dxa"/>
              <w:bottom w:w="80" w:type="dxa"/>
              <w:end w:w="120" w:type="dxa"/>
            </w:tcMar>
            <w:vAlign w:val="center"/>
          </w:tcPr>
          <w:p>
            <w:pPr>
              <w:spacing w:after="40" w:line="264" w:lineRule="auto"/>
            </w:pPr>
            <w:r>
              <w:rPr>
                <w:rFonts w:ascii="Calibri" w:hAnsi="Calibri"/>
                <w:color w:val="0B2545"/>
                <w:sz w:val="19"/>
              </w:rPr>
              <w:t>Renewal and expiry worker</w:t>
            </w:r>
          </w:p>
        </w:tc>
        <w:tc>
          <w:tcPr>
            <w:tcW w:type="dxa" w:w="1500"/>
            <w:shd w:fill="FFF4D6"/>
            <w:tcMar>
              <w:top w:w="80" w:type="dxa"/>
              <w:start w:w="120" w:type="dxa"/>
              <w:bottom w:w="80" w:type="dxa"/>
              <w:end w:w="120" w:type="dxa"/>
            </w:tcMar>
            <w:vAlign w:val="center"/>
          </w:tcPr>
          <w:p>
            <w:pPr>
              <w:spacing w:after="40" w:line="264" w:lineRule="auto"/>
            </w:pPr>
            <w:r>
              <w:rPr>
                <w:rFonts w:ascii="Calibri" w:hAnsi="Calibri"/>
                <w:color w:val="0B2545"/>
                <w:sz w:val="19"/>
              </w:rPr>
              <w:t>Next</w:t>
            </w:r>
          </w:p>
        </w:tc>
        <w:tc>
          <w:tcPr>
            <w:tcW w:type="dxa" w:w="5360"/>
            <w:tcMar>
              <w:top w:w="80" w:type="dxa"/>
              <w:start w:w="120" w:type="dxa"/>
              <w:bottom w:w="80" w:type="dxa"/>
              <w:end w:w="120" w:type="dxa"/>
            </w:tcMar>
            <w:vAlign w:val="center"/>
          </w:tcPr>
          <w:p>
            <w:pPr>
              <w:spacing w:after="40" w:line="264" w:lineRule="auto"/>
            </w:pPr>
            <w:r>
              <w:rPr>
                <w:rFonts w:ascii="Calibri" w:hAnsi="Calibri"/>
                <w:color w:val="0B2545"/>
                <w:sz w:val="19"/>
              </w:rPr>
              <w:t>Advance notices, due-state transitions and worker health.</w:t>
            </w:r>
          </w:p>
        </w:tc>
      </w:tr>
    </w:tbl>
    <w:p>
      <w:pPr>
        <w:pStyle w:val="Heading2"/>
        <w:widowControl/>
      </w:pPr>
      <w:r>
        <w:t>Contents</w:t>
      </w:r>
    </w:p>
    <w:p>
      <w:pPr>
        <w:widowControl/>
        <w:spacing w:after="40" w:line="240" w:lineRule="auto"/>
      </w:pPr>
      <w:r>
        <w:rPr>
          <w:sz w:val="21"/>
        </w:rPr>
        <w:t>1. Operating model and roles</w:t>
      </w:r>
    </w:p>
    <w:p>
      <w:pPr>
        <w:widowControl/>
        <w:spacing w:after="40" w:line="240" w:lineRule="auto"/>
      </w:pPr>
      <w:r>
        <w:rPr>
          <w:sz w:val="21"/>
        </w:rPr>
        <w:t>2. Access products and prices</w:t>
      </w:r>
    </w:p>
    <w:p>
      <w:pPr>
        <w:widowControl/>
        <w:spacing w:after="40" w:line="240" w:lineRule="auto"/>
      </w:pPr>
      <w:r>
        <w:rPr>
          <w:sz w:val="21"/>
        </w:rPr>
        <w:t>3. Managing memberships</w:t>
      </w:r>
    </w:p>
    <w:p>
      <w:pPr>
        <w:widowControl/>
        <w:spacing w:after="40" w:line="240" w:lineRule="auto"/>
      </w:pPr>
      <w:r>
        <w:rPr>
          <w:sz w:val="21"/>
        </w:rPr>
        <w:t>4. Managing private-course admission</w:t>
      </w:r>
    </w:p>
    <w:p>
      <w:pPr>
        <w:widowControl/>
        <w:spacing w:after="40" w:line="240" w:lineRule="auto"/>
      </w:pPr>
      <w:r>
        <w:rPr>
          <w:sz w:val="21"/>
        </w:rPr>
        <w:t>5. Payment operations and reconciliation</w:t>
      </w:r>
    </w:p>
    <w:p>
      <w:pPr>
        <w:widowControl/>
        <w:spacing w:after="40" w:line="240" w:lineRule="auto"/>
      </w:pPr>
      <w:r>
        <w:rPr>
          <w:sz w:val="21"/>
        </w:rPr>
        <w:t>6. Fake-provider testing</w:t>
      </w:r>
    </w:p>
    <w:p>
      <w:pPr>
        <w:widowControl/>
        <w:spacing w:after="40" w:line="240" w:lineRule="auto"/>
      </w:pPr>
      <w:r>
        <w:rPr>
          <w:sz w:val="21"/>
        </w:rPr>
        <w:t>7. Refunds, reversals and disputes</w:t>
      </w:r>
    </w:p>
    <w:p>
      <w:pPr>
        <w:widowControl/>
        <w:spacing w:after="40" w:line="240" w:lineRule="auto"/>
      </w:pPr>
      <w:r>
        <w:rPr>
          <w:sz w:val="21"/>
        </w:rPr>
        <w:t>8. Learner support</w:t>
      </w:r>
    </w:p>
    <w:p>
      <w:pPr>
        <w:widowControl/>
        <w:spacing w:after="40" w:line="240" w:lineRule="auto"/>
      </w:pPr>
      <w:r>
        <w:rPr>
          <w:sz w:val="21"/>
        </w:rPr>
        <w:t>9. Workers, notices and operational cadence</w:t>
      </w:r>
    </w:p>
    <w:p>
      <w:pPr>
        <w:widowControl/>
        <w:spacing w:after="40" w:line="240" w:lineRule="auto"/>
      </w:pPr>
      <w:r>
        <w:rPr>
          <w:sz w:val="21"/>
        </w:rPr>
        <w:t>10. Security and data handling</w:t>
      </w:r>
    </w:p>
    <w:p>
      <w:pPr>
        <w:widowControl/>
        <w:spacing w:after="40" w:line="240" w:lineRule="auto"/>
      </w:pPr>
      <w:r>
        <w:rPr>
          <w:sz w:val="21"/>
        </w:rPr>
        <w:t>11. Troubleshooting</w:t>
      </w:r>
    </w:p>
    <w:p>
      <w:pPr>
        <w:widowControl/>
        <w:spacing w:after="40" w:line="240" w:lineRule="auto"/>
      </w:pPr>
      <w:r>
        <w:rPr>
          <w:sz w:val="21"/>
        </w:rPr>
        <w:t>12. Launch and handover checklists</w:t>
      </w:r>
    </w:p>
    <w:p>
      <w:pPr>
        <w:pStyle w:val="Heading1"/>
        <w:pageBreakBefore/>
        <w:widowControl/>
      </w:pPr>
      <w:r>
        <w:t>1. Operating model and roles</w:t>
      </w:r>
    </w:p>
    <w:p>
      <w:pPr>
        <w:pStyle w:val="Heading2"/>
        <w:widowControl/>
      </w:pPr>
      <w:r>
        <w:t>The operating model</w:t>
      </w:r>
    </w:p>
    <w:p>
      <w:pPr>
        <w:pStyle w:val="ListBullet"/>
        <w:widowControl/>
      </w:pPr>
      <w:r>
        <w:t>The course or page policy decides who may be admitted: Public, Free, Tier 1, Tier 2 or Private.</w:t>
      </w:r>
    </w:p>
    <w:p>
      <w:pPr>
        <w:pStyle w:val="ListBullet"/>
        <w:widowControl/>
      </w:pPr>
      <w:r>
        <w:t>Membership tier is an entitlement, not a course role and not a course group.</w:t>
      </w:r>
    </w:p>
    <w:p>
      <w:pPr>
        <w:pStyle w:val="ListBullet"/>
        <w:widowControl/>
      </w:pPr>
      <w:r>
        <w:t>Course membership and the Students/Lecturers roles still govern course participation after admission.</w:t>
      </w:r>
    </w:p>
    <w:p>
      <w:pPr>
        <w:pStyle w:val="ListBullet"/>
        <w:widowControl/>
      </w:pPr>
      <w:r>
        <w:t>Private access belongs to one named course. A Tier 2 membership does not imply access to every private course.</w:t>
      </w:r>
    </w:p>
    <w:p>
      <w:pPr>
        <w:pStyle w:val="ListBullet"/>
        <w:widowControl/>
      </w:pPr>
      <w:r>
        <w:t>Each Chisimba installation uses its own payment-provider accounts. The site operator receives funds directly.</w:t>
      </w:r>
    </w:p>
    <w:p>
      <w:pPr>
        <w:pStyle w:val="Heading2"/>
        <w:widowControl/>
      </w:pPr>
      <w:r>
        <w:t>Who may do what</w:t>
      </w:r>
    </w:p>
    <w:tbl>
      <w:tblPr>
        <w:tblStyle w:val="TableGrid"/>
        <w:tblW w:type="dxa" w:w="9360"/>
        <w:tblLayout w:type="fixed"/>
        <w:tblLook w:firstColumn="1" w:firstRow="1" w:lastColumn="0" w:lastRow="0" w:noHBand="0" w:noVBand="1" w:val="04A0"/>
        <w:jc w:val="left"/>
        <w:tblInd w:w="120" w:type="dxa"/>
      </w:tblPr>
      <w:tblGrid>
        <w:gridCol w:w="3400"/>
        <w:gridCol w:w="1900"/>
        <w:gridCol w:w="2200"/>
        <w:gridCol w:w="1860"/>
      </w:tblGrid>
      <w:tr>
        <w:trPr>
          <w:tblHeader w:val="true"/>
        </w:trPr>
        <w:tc>
          <w:tcPr>
            <w:tcW w:type="dxa" w:w="3400"/>
            <w:shd w:fill="E8F3FA"/>
            <w:tcMar>
              <w:top w:w="80" w:type="dxa"/>
              <w:start w:w="120" w:type="dxa"/>
              <w:bottom w:w="80" w:type="dxa"/>
              <w:end w:w="120" w:type="dxa"/>
            </w:tcMar>
            <w:vAlign w:val="center"/>
          </w:tcPr>
          <w:p>
            <w:pPr>
              <w:spacing w:after="40" w:line="264" w:lineRule="auto"/>
            </w:pPr>
            <w:r>
              <w:rPr>
                <w:rFonts w:ascii="Calibri" w:hAnsi="Calibri"/>
                <w:b/>
                <w:color w:val="0B2545"/>
                <w:sz w:val="19"/>
              </w:rPr>
              <w:t>Task</w:t>
            </w:r>
          </w:p>
        </w:tc>
        <w:tc>
          <w:tcPr>
            <w:tcW w:type="dxa" w:w="1900"/>
            <w:shd w:fill="E8F3FA"/>
            <w:tcMar>
              <w:top w:w="80" w:type="dxa"/>
              <w:start w:w="120" w:type="dxa"/>
              <w:bottom w:w="80" w:type="dxa"/>
              <w:end w:w="120" w:type="dxa"/>
            </w:tcMar>
            <w:vAlign w:val="center"/>
          </w:tcPr>
          <w:p>
            <w:pPr>
              <w:spacing w:after="40" w:line="264" w:lineRule="auto"/>
            </w:pPr>
            <w:r>
              <w:rPr>
                <w:rFonts w:ascii="Calibri" w:hAnsi="Calibri"/>
                <w:b/>
                <w:color w:val="0B2545"/>
                <w:sz w:val="19"/>
              </w:rPr>
              <w:t>Site administrator</w:t>
            </w:r>
          </w:p>
        </w:tc>
        <w:tc>
          <w:tcPr>
            <w:tcW w:type="dxa" w:w="2200"/>
            <w:shd w:fill="E8F3FA"/>
            <w:tcMar>
              <w:top w:w="80" w:type="dxa"/>
              <w:start w:w="120" w:type="dxa"/>
              <w:bottom w:w="80" w:type="dxa"/>
              <w:end w:w="120" w:type="dxa"/>
            </w:tcMar>
            <w:vAlign w:val="center"/>
          </w:tcPr>
          <w:p>
            <w:pPr>
              <w:spacing w:after="40" w:line="264" w:lineRule="auto"/>
            </w:pPr>
            <w:r>
              <w:rPr>
                <w:rFonts w:ascii="Calibri" w:hAnsi="Calibri"/>
                <w:b/>
                <w:color w:val="0B2545"/>
                <w:sz w:val="19"/>
              </w:rPr>
              <w:t>Membership Manager</w:t>
            </w:r>
          </w:p>
        </w:tc>
        <w:tc>
          <w:tcPr>
            <w:tcW w:type="dxa" w:w="1860"/>
            <w:shd w:fill="E8F3FA"/>
            <w:tcMar>
              <w:top w:w="80" w:type="dxa"/>
              <w:start w:w="120" w:type="dxa"/>
              <w:bottom w:w="80" w:type="dxa"/>
              <w:end w:w="120" w:type="dxa"/>
            </w:tcMar>
            <w:vAlign w:val="center"/>
          </w:tcPr>
          <w:p>
            <w:pPr>
              <w:spacing w:after="40" w:line="264" w:lineRule="auto"/>
            </w:pPr>
            <w:r>
              <w:rPr>
                <w:rFonts w:ascii="Calibri" w:hAnsi="Calibri"/>
                <w:b/>
                <w:color w:val="0B2545"/>
                <w:sz w:val="19"/>
              </w:rPr>
              <w:t>Lecturer</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Configure products and prices</w:t>
            </w:r>
          </w:p>
        </w:tc>
        <w:tc>
          <w:tcPr>
            <w:tcW w:type="dxa" w:w="1900"/>
            <w:tcMar>
              <w:top w:w="80" w:type="dxa"/>
              <w:start w:w="120" w:type="dxa"/>
              <w:bottom w:w="80" w:type="dxa"/>
              <w:end w:w="120" w:type="dxa"/>
            </w:tcMar>
            <w:vAlign w:val="center"/>
          </w:tcPr>
          <w:p>
            <w:pPr>
              <w:spacing w:after="40" w:line="264" w:lineRule="auto"/>
            </w:pPr>
            <w:r>
              <w:rPr>
                <w:rFonts w:ascii="Calibri" w:hAnsi="Calibri"/>
                <w:color w:val="0B2545"/>
                <w:sz w:val="19"/>
              </w:rPr>
              <w:t>Yes</w:t>
            </w:r>
          </w:p>
        </w:tc>
        <w:tc>
          <w:tcPr>
            <w:tcW w:type="dxa" w:w="2200"/>
            <w:tcMar>
              <w:top w:w="80" w:type="dxa"/>
              <w:start w:w="120" w:type="dxa"/>
              <w:bottom w:w="80" w:type="dxa"/>
              <w:end w:w="120" w:type="dxa"/>
            </w:tcMar>
            <w:vAlign w:val="center"/>
          </w:tcPr>
          <w:p>
            <w:pPr>
              <w:spacing w:after="40" w:line="264" w:lineRule="auto"/>
            </w:pPr>
            <w:r>
              <w:rPr>
                <w:rFonts w:ascii="Calibri" w:hAnsi="Calibri"/>
                <w:color w:val="0B2545"/>
                <w:sz w:val="19"/>
              </w:rPr>
              <w:t>No</w:t>
            </w:r>
          </w:p>
        </w:tc>
        <w:tc>
          <w:tcPr>
            <w:tcW w:type="dxa" w:w="1860"/>
            <w:tcMar>
              <w:top w:w="80" w:type="dxa"/>
              <w:start w:w="120" w:type="dxa"/>
              <w:bottom w:w="80" w:type="dxa"/>
              <w:end w:w="120" w:type="dxa"/>
            </w:tcMar>
            <w:vAlign w:val="center"/>
          </w:tcPr>
          <w:p>
            <w:pPr>
              <w:spacing w:after="40" w:line="264" w:lineRule="auto"/>
            </w:pPr>
            <w:r>
              <w:rPr>
                <w:rFonts w:ascii="Calibri" w:hAnsi="Calibri"/>
                <w:color w:val="0B2545"/>
                <w:sz w:val="19"/>
              </w:rPr>
              <w:t>No</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Grant or amend membership</w:t>
            </w:r>
          </w:p>
        </w:tc>
        <w:tc>
          <w:tcPr>
            <w:tcW w:type="dxa" w:w="1900"/>
            <w:tcMar>
              <w:top w:w="80" w:type="dxa"/>
              <w:start w:w="120" w:type="dxa"/>
              <w:bottom w:w="80" w:type="dxa"/>
              <w:end w:w="120" w:type="dxa"/>
            </w:tcMar>
            <w:vAlign w:val="center"/>
          </w:tcPr>
          <w:p>
            <w:pPr>
              <w:spacing w:after="40" w:line="264" w:lineRule="auto"/>
            </w:pPr>
            <w:r>
              <w:rPr>
                <w:rFonts w:ascii="Calibri" w:hAnsi="Calibri"/>
                <w:color w:val="0B2545"/>
                <w:sz w:val="19"/>
              </w:rPr>
              <w:t>Yes</w:t>
            </w:r>
          </w:p>
        </w:tc>
        <w:tc>
          <w:tcPr>
            <w:tcW w:type="dxa" w:w="2200"/>
            <w:tcMar>
              <w:top w:w="80" w:type="dxa"/>
              <w:start w:w="120" w:type="dxa"/>
              <w:bottom w:w="80" w:type="dxa"/>
              <w:end w:w="120" w:type="dxa"/>
            </w:tcMar>
            <w:vAlign w:val="center"/>
          </w:tcPr>
          <w:p>
            <w:pPr>
              <w:spacing w:after="40" w:line="264" w:lineRule="auto"/>
            </w:pPr>
            <w:r>
              <w:rPr>
                <w:rFonts w:ascii="Calibri" w:hAnsi="Calibri"/>
                <w:color w:val="0B2545"/>
                <w:sz w:val="19"/>
              </w:rPr>
              <w:t>Yes</w:t>
            </w:r>
          </w:p>
        </w:tc>
        <w:tc>
          <w:tcPr>
            <w:tcW w:type="dxa" w:w="1860"/>
            <w:tcMar>
              <w:top w:w="80" w:type="dxa"/>
              <w:start w:w="120" w:type="dxa"/>
              <w:bottom w:w="80" w:type="dxa"/>
              <w:end w:w="120" w:type="dxa"/>
            </w:tcMar>
            <w:vAlign w:val="center"/>
          </w:tcPr>
          <w:p>
            <w:pPr>
              <w:spacing w:after="40" w:line="264" w:lineRule="auto"/>
            </w:pPr>
            <w:r>
              <w:rPr>
                <w:rFonts w:ascii="Calibri" w:hAnsi="Calibri"/>
                <w:color w:val="0B2545"/>
                <w:sz w:val="19"/>
              </w:rPr>
              <w:t>No</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Appoint Membership Managers</w:t>
            </w:r>
          </w:p>
        </w:tc>
        <w:tc>
          <w:tcPr>
            <w:tcW w:type="dxa" w:w="1900"/>
            <w:tcMar>
              <w:top w:w="80" w:type="dxa"/>
              <w:start w:w="120" w:type="dxa"/>
              <w:bottom w:w="80" w:type="dxa"/>
              <w:end w:w="120" w:type="dxa"/>
            </w:tcMar>
            <w:vAlign w:val="center"/>
          </w:tcPr>
          <w:p>
            <w:pPr>
              <w:spacing w:after="40" w:line="264" w:lineRule="auto"/>
            </w:pPr>
            <w:r>
              <w:rPr>
                <w:rFonts w:ascii="Calibri" w:hAnsi="Calibri"/>
                <w:color w:val="0B2545"/>
                <w:sz w:val="19"/>
              </w:rPr>
              <w:t>Yes</w:t>
            </w:r>
          </w:p>
        </w:tc>
        <w:tc>
          <w:tcPr>
            <w:tcW w:type="dxa" w:w="2200"/>
            <w:tcMar>
              <w:top w:w="80" w:type="dxa"/>
              <w:start w:w="120" w:type="dxa"/>
              <w:bottom w:w="80" w:type="dxa"/>
              <w:end w:w="120" w:type="dxa"/>
            </w:tcMar>
            <w:vAlign w:val="center"/>
          </w:tcPr>
          <w:p>
            <w:pPr>
              <w:spacing w:after="40" w:line="264" w:lineRule="auto"/>
            </w:pPr>
            <w:r>
              <w:rPr>
                <w:rFonts w:ascii="Calibri" w:hAnsi="Calibri"/>
                <w:color w:val="0B2545"/>
                <w:sz w:val="19"/>
              </w:rPr>
              <w:t>No</w:t>
            </w:r>
          </w:p>
        </w:tc>
        <w:tc>
          <w:tcPr>
            <w:tcW w:type="dxa" w:w="1860"/>
            <w:tcMar>
              <w:top w:w="80" w:type="dxa"/>
              <w:start w:w="120" w:type="dxa"/>
              <w:bottom w:w="80" w:type="dxa"/>
              <w:end w:w="120" w:type="dxa"/>
            </w:tcMar>
            <w:vAlign w:val="center"/>
          </w:tcPr>
          <w:p>
            <w:pPr>
              <w:spacing w:after="40" w:line="264" w:lineRule="auto"/>
            </w:pPr>
            <w:r>
              <w:rPr>
                <w:rFonts w:ascii="Calibri" w:hAnsi="Calibri"/>
                <w:color w:val="0B2545"/>
                <w:sz w:val="19"/>
              </w:rPr>
              <w:t>No</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Review payment operations</w:t>
            </w:r>
          </w:p>
        </w:tc>
        <w:tc>
          <w:tcPr>
            <w:tcW w:type="dxa" w:w="1900"/>
            <w:tcMar>
              <w:top w:w="80" w:type="dxa"/>
              <w:start w:w="120" w:type="dxa"/>
              <w:bottom w:w="80" w:type="dxa"/>
              <w:end w:w="120" w:type="dxa"/>
            </w:tcMar>
            <w:vAlign w:val="center"/>
          </w:tcPr>
          <w:p>
            <w:pPr>
              <w:spacing w:after="40" w:line="264" w:lineRule="auto"/>
            </w:pPr>
            <w:r>
              <w:rPr>
                <w:rFonts w:ascii="Calibri" w:hAnsi="Calibri"/>
                <w:color w:val="0B2545"/>
                <w:sz w:val="19"/>
              </w:rPr>
              <w:t>Yes</w:t>
            </w:r>
          </w:p>
        </w:tc>
        <w:tc>
          <w:tcPr>
            <w:tcW w:type="dxa" w:w="2200"/>
            <w:tcMar>
              <w:top w:w="80" w:type="dxa"/>
              <w:start w:w="120" w:type="dxa"/>
              <w:bottom w:w="80" w:type="dxa"/>
              <w:end w:w="120" w:type="dxa"/>
            </w:tcMar>
            <w:vAlign w:val="center"/>
          </w:tcPr>
          <w:p>
            <w:pPr>
              <w:spacing w:after="40" w:line="264" w:lineRule="auto"/>
            </w:pPr>
            <w:r>
              <w:rPr>
                <w:rFonts w:ascii="Calibri" w:hAnsi="Calibri"/>
                <w:color w:val="0B2545"/>
                <w:sz w:val="19"/>
              </w:rPr>
              <w:t>When authorised</w:t>
            </w:r>
          </w:p>
        </w:tc>
        <w:tc>
          <w:tcPr>
            <w:tcW w:type="dxa" w:w="1860"/>
            <w:tcMar>
              <w:top w:w="80" w:type="dxa"/>
              <w:start w:w="120" w:type="dxa"/>
              <w:bottom w:w="80" w:type="dxa"/>
              <w:end w:w="120" w:type="dxa"/>
            </w:tcMar>
            <w:vAlign w:val="center"/>
          </w:tcPr>
          <w:p>
            <w:pPr>
              <w:spacing w:after="40" w:line="264" w:lineRule="auto"/>
            </w:pPr>
            <w:r>
              <w:rPr>
                <w:rFonts w:ascii="Calibri" w:hAnsi="Calibri"/>
                <w:color w:val="0B2545"/>
                <w:sz w:val="19"/>
              </w:rPr>
              <w:t>No</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Choose course access policy</w:t>
            </w:r>
          </w:p>
        </w:tc>
        <w:tc>
          <w:tcPr>
            <w:tcW w:type="dxa" w:w="1900"/>
            <w:tcMar>
              <w:top w:w="80" w:type="dxa"/>
              <w:start w:w="120" w:type="dxa"/>
              <w:bottom w:w="80" w:type="dxa"/>
              <w:end w:w="120" w:type="dxa"/>
            </w:tcMar>
            <w:vAlign w:val="center"/>
          </w:tcPr>
          <w:p>
            <w:pPr>
              <w:spacing w:after="40" w:line="264" w:lineRule="auto"/>
            </w:pPr>
            <w:r>
              <w:rPr>
                <w:rFonts w:ascii="Calibri" w:hAnsi="Calibri"/>
                <w:color w:val="0B2545"/>
                <w:sz w:val="19"/>
              </w:rPr>
              <w:t>Yes</w:t>
            </w:r>
          </w:p>
        </w:tc>
        <w:tc>
          <w:tcPr>
            <w:tcW w:type="dxa" w:w="2200"/>
            <w:tcMar>
              <w:top w:w="80" w:type="dxa"/>
              <w:start w:w="120" w:type="dxa"/>
              <w:bottom w:w="80" w:type="dxa"/>
              <w:end w:w="120" w:type="dxa"/>
            </w:tcMar>
            <w:vAlign w:val="center"/>
          </w:tcPr>
          <w:p>
            <w:pPr>
              <w:spacing w:after="40" w:line="264" w:lineRule="auto"/>
            </w:pPr>
            <w:r>
              <w:rPr>
                <w:rFonts w:ascii="Calibri" w:hAnsi="Calibri"/>
                <w:color w:val="0B2545"/>
                <w:sz w:val="19"/>
              </w:rPr>
              <w:t>No</w:t>
            </w:r>
          </w:p>
        </w:tc>
        <w:tc>
          <w:tcPr>
            <w:tcW w:type="dxa" w:w="1860"/>
            <w:tcMar>
              <w:top w:w="80" w:type="dxa"/>
              <w:start w:w="120" w:type="dxa"/>
              <w:bottom w:w="80" w:type="dxa"/>
              <w:end w:w="120" w:type="dxa"/>
            </w:tcMar>
            <w:vAlign w:val="center"/>
          </w:tcPr>
          <w:p>
            <w:pPr>
              <w:spacing w:after="40" w:line="264" w:lineRule="auto"/>
            </w:pPr>
            <w:r>
              <w:rPr>
                <w:rFonts w:ascii="Calibri" w:hAnsi="Calibri"/>
                <w:color w:val="0B2545"/>
                <w:sz w:val="19"/>
              </w:rPr>
              <w:t>Course owner</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Approve manual private admission</w:t>
            </w:r>
          </w:p>
        </w:tc>
        <w:tc>
          <w:tcPr>
            <w:tcW w:type="dxa" w:w="1900"/>
            <w:tcMar>
              <w:top w:w="80" w:type="dxa"/>
              <w:start w:w="120" w:type="dxa"/>
              <w:bottom w:w="80" w:type="dxa"/>
              <w:end w:w="120" w:type="dxa"/>
            </w:tcMar>
            <w:vAlign w:val="center"/>
          </w:tcPr>
          <w:p>
            <w:pPr>
              <w:spacing w:after="40" w:line="264" w:lineRule="auto"/>
            </w:pPr>
            <w:r>
              <w:rPr>
                <w:rFonts w:ascii="Calibri" w:hAnsi="Calibri"/>
                <w:color w:val="0B2545"/>
                <w:sz w:val="19"/>
              </w:rPr>
              <w:t>Yes</w:t>
            </w:r>
          </w:p>
        </w:tc>
        <w:tc>
          <w:tcPr>
            <w:tcW w:type="dxa" w:w="2200"/>
            <w:tcMar>
              <w:top w:w="80" w:type="dxa"/>
              <w:start w:w="120" w:type="dxa"/>
              <w:bottom w:w="80" w:type="dxa"/>
              <w:end w:w="120" w:type="dxa"/>
            </w:tcMar>
            <w:vAlign w:val="center"/>
          </w:tcPr>
          <w:p>
            <w:pPr>
              <w:spacing w:after="40" w:line="264" w:lineRule="auto"/>
            </w:pPr>
            <w:r>
              <w:rPr>
                <w:rFonts w:ascii="Calibri" w:hAnsi="Calibri"/>
                <w:color w:val="0B2545"/>
                <w:sz w:val="19"/>
              </w:rPr>
              <w:t>Yes</w:t>
            </w:r>
          </w:p>
        </w:tc>
        <w:tc>
          <w:tcPr>
            <w:tcW w:type="dxa" w:w="1860"/>
            <w:tcMar>
              <w:top w:w="80" w:type="dxa"/>
              <w:start w:w="120" w:type="dxa"/>
              <w:bottom w:w="80" w:type="dxa"/>
              <w:end w:w="120" w:type="dxa"/>
            </w:tcMar>
            <w:vAlign w:val="center"/>
          </w:tcPr>
          <w:p>
            <w:pPr>
              <w:spacing w:after="40" w:line="264" w:lineRule="auto"/>
            </w:pPr>
            <w:r>
              <w:rPr>
                <w:rFonts w:ascii="Calibri" w:hAnsi="Calibri"/>
                <w:color w:val="0B2545"/>
                <w:sz w:val="19"/>
              </w:rPr>
              <w:t>When separately authorised</w:t>
            </w:r>
          </w:p>
        </w:tc>
      </w:tr>
    </w:tbl>
    <w:p>
      <w:pPr>
        <w:pStyle w:val="GuideNote"/>
        <w:shd w:fill="E8F3FA"/>
        <w:widowControl/>
        <w:pBdr>
          <w:left w:val="single" w:sz="18" w:space="8" w:color="8ABBDD"/>
        </w:pBdr>
      </w:pPr>
      <w:r>
        <w:rPr>
          <w:b/>
        </w:rPr>
        <w:t xml:space="preserve">Least privilege  </w:t>
      </w:r>
      <w:r>
        <w:t>Do not make finance or support staff site administrators merely to manage memberships. Use the Membership Manager capability and add narrower permissions later as operational roles mature.</w:t>
      </w:r>
    </w:p>
    <w:p>
      <w:pPr>
        <w:pStyle w:val="Heading2"/>
        <w:widowControl/>
      </w:pPr>
      <w:r>
        <w:t>Where the work happens</w:t>
      </w:r>
    </w:p>
    <w:p>
      <w:pPr>
        <w:pStyle w:val="ListBullet"/>
        <w:widowControl/>
      </w:pPr>
      <w:r>
        <w:t>Memberships: open Membership Service from Site Administration or the administrator navigation.</w:t>
      </w:r>
    </w:p>
    <w:p>
      <w:pPr>
        <w:pStyle w:val="ListBullet"/>
        <w:widowControl/>
      </w:pPr>
      <w:r>
        <w:t>Payments: open Payment operations from Site Administration; administrators can then open Products and prices.</w:t>
      </w:r>
    </w:p>
    <w:p>
      <w:pPr>
        <w:pStyle w:val="ListBullet"/>
        <w:widowControl/>
      </w:pPr>
      <w:r>
        <w:t>Course access: open the course control panel, then course settings and Availability and participation.</w:t>
      </w:r>
    </w:p>
    <w:p>
      <w:pPr>
        <w:pStyle w:val="ListBullet"/>
        <w:widowControl/>
      </w:pPr>
      <w:r>
        <w:t>Course membership and ownership: use Manage Course Members or Manage lecturers and ownership from the course control panel.</w:t>
      </w:r>
    </w:p>
    <w:p>
      <w:pPr>
        <w:widowControl/>
      </w:pPr>
      <w:r>
        <w:br w:type="page"/>
      </w:r>
    </w:p>
    <w:p>
      <w:pPr>
        <w:pStyle w:val="Heading1"/>
        <w:widowControl/>
      </w:pPr>
      <w:r>
        <w:t>2. Access products and prices</w:t>
      </w:r>
    </w:p>
    <w:p>
      <w:pPr>
        <w:pStyle w:val="Heading2"/>
        <w:widowControl/>
      </w:pPr>
      <w:r>
        <w:t>Before creating a product</w:t>
      </w:r>
    </w:p>
    <w:p>
      <w:pPr>
        <w:pStyle w:val="ListBullet"/>
        <w:widowControl/>
      </w:pPr>
      <w:r>
        <w:t>Decide whether the purchase is Tier 1, Tier 2 or one named private course.</w:t>
      </w:r>
    </w:p>
    <w:p>
      <w:pPr>
        <w:pStyle w:val="ListBullet"/>
        <w:widowControl/>
      </w:pPr>
      <w:r>
        <w:t>Decide whether it is monthly, annual or once-off.</w:t>
      </w:r>
    </w:p>
    <w:p>
      <w:pPr>
        <w:pStyle w:val="ListBullet"/>
        <w:widowControl/>
      </w:pPr>
      <w:r>
        <w:t>Confirm the currency, tax treatment and customer-facing price.</w:t>
      </w:r>
    </w:p>
    <w:p>
      <w:pPr>
        <w:pStyle w:val="ListBullet"/>
        <w:widowControl/>
      </w:pPr>
      <w:r>
        <w:t>For private courses, configure the course as Private and choose its admission mode first.</w:t>
      </w:r>
    </w:p>
    <w:p>
      <w:pPr>
        <w:pStyle w:val="ListBullet"/>
        <w:widowControl/>
      </w:pPr>
      <w:r>
        <w:t>Write a product name that makes sense on a checkout screen and receipt.</w:t>
      </w:r>
    </w:p>
    <w:p>
      <w:pPr>
        <w:pStyle w:val="Heading2"/>
        <w:widowControl/>
      </w:pPr>
      <w:r>
        <w:t>Create a product</w:t>
      </w:r>
    </w:p>
    <w:p>
      <w:pPr>
        <w:spacing w:after="80" w:line="300" w:lineRule="auto"/>
        <w:ind w:left="540" w:hanging="271"/>
        <w:widowControl/>
        <w:numPr>
          <w:ilvl w:val="0"/>
          <w:numId w:val="10"/>
        </w:numPr>
      </w:pPr>
      <w:r>
        <w:t>Open Payment operations and choose Manage products and prices.</w:t>
      </w:r>
    </w:p>
    <w:p>
      <w:pPr>
        <w:spacing w:after="80" w:line="300" w:lineRule="auto"/>
        <w:ind w:left="540" w:hanging="271"/>
        <w:widowControl/>
        <w:numPr>
          <w:ilvl w:val="0"/>
          <w:numId w:val="10"/>
        </w:numPr>
      </w:pPr>
      <w:r>
        <w:t>Enter a stable product code. Treat it as an identifier, not customer-facing prose.</w:t>
      </w:r>
    </w:p>
    <w:p>
      <w:pPr>
        <w:spacing w:after="80" w:line="300" w:lineRule="auto"/>
        <w:ind w:left="540" w:hanging="271"/>
        <w:widowControl/>
        <w:numPr>
          <w:ilvl w:val="0"/>
          <w:numId w:val="10"/>
        </w:numPr>
      </w:pPr>
      <w:r>
        <w:t>Choose Membership or Private course as the purpose.</w:t>
      </w:r>
    </w:p>
    <w:p>
      <w:pPr>
        <w:spacing w:after="80" w:line="300" w:lineRule="auto"/>
        <w:ind w:left="540" w:hanging="271"/>
        <w:widowControl/>
        <w:numPr>
          <w:ilvl w:val="0"/>
          <w:numId w:val="10"/>
        </w:numPr>
      </w:pPr>
      <w:r>
        <w:t>For membership, choose Tier 1 or Tier 2 and a duration.</w:t>
      </w:r>
    </w:p>
    <w:p>
      <w:pPr>
        <w:spacing w:after="80" w:line="300" w:lineRule="auto"/>
        <w:ind w:left="540" w:hanging="271"/>
        <w:widowControl/>
        <w:numPr>
          <w:ilvl w:val="0"/>
          <w:numId w:val="10"/>
        </w:numPr>
      </w:pPr>
      <w:r>
        <w:t>For a private course, select the exact course; a once-off product does not require a membership duration.</w:t>
      </w:r>
    </w:p>
    <w:p>
      <w:pPr>
        <w:spacing w:after="80" w:line="300" w:lineRule="auto"/>
        <w:ind w:left="540" w:hanging="271"/>
        <w:widowControl/>
        <w:numPr>
          <w:ilvl w:val="0"/>
          <w:numId w:val="10"/>
        </w:numPr>
      </w:pPr>
      <w:r>
        <w:t>Save the product, then publish its first price version.</w:t>
      </w:r>
    </w:p>
    <w:p>
      <w:pPr>
        <w:pStyle w:val="Heading2"/>
        <w:widowControl/>
      </w:pPr>
      <w:r>
        <w:t>Publish a price version</w:t>
      </w:r>
    </w:p>
    <w:p>
      <w:pPr>
        <w:pStyle w:val="ListBullet"/>
        <w:widowControl/>
      </w:pPr>
      <w:r>
        <w:t>Use the provider’s smallest currency unit: cents for ZAR and USD.</w:t>
      </w:r>
    </w:p>
    <w:p>
      <w:pPr>
        <w:pStyle w:val="ListBullet"/>
        <w:widowControl/>
      </w:pPr>
      <w:r>
        <w:t>Choose an ISO currency code such as ZAR or USD.</w:t>
      </w:r>
    </w:p>
    <w:p>
      <w:pPr>
        <w:pStyle w:val="ListBullet"/>
        <w:widowControl/>
      </w:pPr>
      <w:r>
        <w:t>Set effective dates deliberately.</w:t>
      </w:r>
    </w:p>
    <w:p>
      <w:pPr>
        <w:pStyle w:val="ListBullet"/>
        <w:widowControl/>
      </w:pPr>
      <w:r>
        <w:t>Never rewrite a price that has already been used. Retire it and publish a new version.</w:t>
      </w:r>
    </w:p>
    <w:p>
      <w:pPr>
        <w:pStyle w:val="ListBullet"/>
        <w:widowControl/>
      </w:pPr>
      <w:r>
        <w:t>Represent an annual discount as an explicit annual price, not a live calculation from the current monthly price.</w:t>
      </w:r>
    </w:p>
    <w:p>
      <w:pPr>
        <w:pStyle w:val="GuideNote"/>
        <w:shd w:fill="E8F3FA"/>
        <w:widowControl/>
        <w:pBdr>
          <w:left w:val="single" w:sz="18" w:space="8" w:color="8ABBDD"/>
        </w:pBdr>
      </w:pPr>
      <w:r>
        <w:rPr>
          <w:b/>
        </w:rPr>
        <w:t xml:space="preserve">Example  </w:t>
      </w:r>
      <w:r>
        <w:t>ZAR 199.00 is stored as 19900 minor units. A test price of ZAR 1.00 is stored as 100.</w:t>
      </w:r>
    </w:p>
    <w:p>
      <w:pPr>
        <w:pStyle w:val="GuideWarning"/>
        <w:shd w:fill="FFF4D6"/>
        <w:widowControl/>
        <w:pBdr>
          <w:left w:val="single" w:sz="18" w:space="8" w:color="D3A52A"/>
        </w:pBdr>
      </w:pPr>
      <w:r>
        <w:rPr>
          <w:b/>
        </w:rPr>
        <w:t xml:space="preserve">Production hygiene  </w:t>
      </w:r>
      <w:r>
        <w:t>Remove or disable products prefixed TEST before opening a catalogue to real customers.</w:t>
      </w:r>
    </w:p>
    <w:p>
      <w:pPr>
        <w:widowControl/>
      </w:pPr>
      <w:r>
        <w:br w:type="page"/>
      </w:r>
    </w:p>
    <w:p>
      <w:pPr>
        <w:pStyle w:val="Heading1"/>
        <w:widowControl/>
      </w:pPr>
      <w:r>
        <w:t>3. Managing memberships</w:t>
      </w:r>
    </w:p>
    <w:p>
      <w:pPr>
        <w:pStyle w:val="Heading2"/>
        <w:widowControl/>
      </w:pPr>
      <w:r>
        <w:t>Add a manual membership</w:t>
      </w:r>
    </w:p>
    <w:p>
      <w:pPr>
        <w:widowControl/>
      </w:pPr>
      <w:r>
        <w:t>Use a manual membership for an invited member, an approved exception, an offline payment or another non-provider source. Do not create a fake payment to explain manual access.</w:t>
      </w:r>
    </w:p>
    <w:p>
      <w:pPr>
        <w:spacing w:after="80" w:line="300" w:lineRule="auto"/>
        <w:ind w:left="540" w:hanging="271"/>
        <w:widowControl/>
        <w:numPr>
          <w:ilvl w:val="0"/>
          <w:numId w:val="11"/>
        </w:numPr>
      </w:pPr>
      <w:r>
        <w:t>Open Membership Service.</w:t>
      </w:r>
    </w:p>
    <w:p>
      <w:pPr>
        <w:spacing w:after="80" w:line="300" w:lineRule="auto"/>
        <w:ind w:left="540" w:hanging="271"/>
        <w:widowControl/>
        <w:numPr>
          <w:ilvl w:val="0"/>
          <w:numId w:val="11"/>
        </w:numPr>
      </w:pPr>
      <w:r>
        <w:t>Choose the canonical user by full name and username.</w:t>
      </w:r>
    </w:p>
    <w:p>
      <w:pPr>
        <w:spacing w:after="80" w:line="300" w:lineRule="auto"/>
        <w:ind w:left="540" w:hanging="271"/>
        <w:widowControl/>
        <w:numPr>
          <w:ilvl w:val="0"/>
          <w:numId w:val="11"/>
        </w:numPr>
      </w:pPr>
      <w:r>
        <w:t>Choose Tier 1 or Tier 2.</w:t>
      </w:r>
    </w:p>
    <w:p>
      <w:pPr>
        <w:spacing w:after="80" w:line="300" w:lineRule="auto"/>
        <w:ind w:left="540" w:hanging="271"/>
        <w:widowControl/>
        <w:numPr>
          <w:ilvl w:val="0"/>
          <w:numId w:val="11"/>
        </w:numPr>
      </w:pPr>
      <w:r>
        <w:t>Set the start and end dates.</w:t>
      </w:r>
    </w:p>
    <w:p>
      <w:pPr>
        <w:spacing w:after="80" w:line="300" w:lineRule="auto"/>
        <w:ind w:left="540" w:hanging="271"/>
        <w:widowControl/>
        <w:numPr>
          <w:ilvl w:val="0"/>
          <w:numId w:val="11"/>
        </w:numPr>
      </w:pPr>
      <w:r>
        <w:t>Enter a meaningful reason that another operator will understand later.</w:t>
      </w:r>
    </w:p>
    <w:p>
      <w:pPr>
        <w:spacing w:after="80" w:line="300" w:lineRule="auto"/>
        <w:ind w:left="540" w:hanging="271"/>
        <w:widowControl/>
        <w:numPr>
          <w:ilvl w:val="0"/>
          <w:numId w:val="11"/>
        </w:numPr>
      </w:pPr>
      <w:r>
        <w:t>Save and confirm the new period in Membership history.</w:t>
      </w:r>
    </w:p>
    <w:p>
      <w:pPr>
        <w:pStyle w:val="Heading2"/>
        <w:widowControl/>
      </w:pPr>
      <w:r>
        <w:t>Edit an existing period</w:t>
      </w:r>
    </w:p>
    <w:p>
      <w:pPr>
        <w:pStyle w:val="ListBullet"/>
        <w:widowControl/>
      </w:pPr>
      <w:r>
        <w:t>Use Edit to correct the tier, dates or reason while preserving the audit lineage.</w:t>
      </w:r>
    </w:p>
    <w:p>
      <w:pPr>
        <w:pStyle w:val="ListBullet"/>
        <w:widowControl/>
      </w:pPr>
      <w:r>
        <w:t>Do not shorten paid access casually. Record the business reason before saving.</w:t>
      </w:r>
    </w:p>
    <w:p>
      <w:pPr>
        <w:pStyle w:val="ListBullet"/>
        <w:widowControl/>
      </w:pPr>
      <w:r>
        <w:t>If an edit fails, do not repeatedly click Save. Record the displayed correlation detail and inspect system logs.</w:t>
      </w:r>
    </w:p>
    <w:p>
      <w:pPr>
        <w:pStyle w:val="Heading2"/>
        <w:widowControl/>
      </w:pPr>
      <w:r>
        <w:t>Lifecycle actions</w:t>
      </w:r>
    </w:p>
    <w:tbl>
      <w:tblPr>
        <w:tblStyle w:val="TableGrid"/>
        <w:tblW w:type="dxa" w:w="9360"/>
        <w:tblLayout w:type="fixed"/>
        <w:tblLook w:firstColumn="1" w:firstRow="1" w:lastColumn="0" w:lastRow="0" w:noHBand="0" w:noVBand="1" w:val="04A0"/>
        <w:jc w:val="left"/>
        <w:tblInd w:w="120" w:type="dxa"/>
      </w:tblPr>
      <w:tblGrid>
        <w:gridCol w:w="1600"/>
        <w:gridCol w:w="3900"/>
        <w:gridCol w:w="3860"/>
      </w:tblGrid>
      <w:tr>
        <w:trPr>
          <w:tblHeader w:val="true"/>
        </w:trPr>
        <w:tc>
          <w:tcPr>
            <w:tcW w:type="dxa" w:w="1600"/>
            <w:shd w:fill="E8F3FA"/>
            <w:tcMar>
              <w:top w:w="80" w:type="dxa"/>
              <w:start w:w="120" w:type="dxa"/>
              <w:bottom w:w="80" w:type="dxa"/>
              <w:end w:w="120" w:type="dxa"/>
            </w:tcMar>
            <w:vAlign w:val="center"/>
          </w:tcPr>
          <w:p>
            <w:pPr>
              <w:spacing w:after="40" w:line="264" w:lineRule="auto"/>
            </w:pPr>
            <w:r>
              <w:rPr>
                <w:rFonts w:ascii="Calibri" w:hAnsi="Calibri"/>
                <w:b/>
                <w:color w:val="0B2545"/>
                <w:sz w:val="19"/>
              </w:rPr>
              <w:t>Action</w:t>
            </w:r>
          </w:p>
        </w:tc>
        <w:tc>
          <w:tcPr>
            <w:tcW w:type="dxa" w:w="3900"/>
            <w:shd w:fill="E8F3FA"/>
            <w:tcMar>
              <w:top w:w="80" w:type="dxa"/>
              <w:start w:w="120" w:type="dxa"/>
              <w:bottom w:w="80" w:type="dxa"/>
              <w:end w:w="120" w:type="dxa"/>
            </w:tcMar>
            <w:vAlign w:val="center"/>
          </w:tcPr>
          <w:p>
            <w:pPr>
              <w:spacing w:after="40" w:line="264" w:lineRule="auto"/>
            </w:pPr>
            <w:r>
              <w:rPr>
                <w:rFonts w:ascii="Calibri" w:hAnsi="Calibri"/>
                <w:b/>
                <w:color w:val="0B2545"/>
                <w:sz w:val="19"/>
              </w:rPr>
              <w:t>Use when</w:t>
            </w:r>
          </w:p>
        </w:tc>
        <w:tc>
          <w:tcPr>
            <w:tcW w:type="dxa" w:w="3860"/>
            <w:shd w:fill="E8F3FA"/>
            <w:tcMar>
              <w:top w:w="80" w:type="dxa"/>
              <w:start w:w="120" w:type="dxa"/>
              <w:bottom w:w="80" w:type="dxa"/>
              <w:end w:w="120" w:type="dxa"/>
            </w:tcMar>
            <w:vAlign w:val="center"/>
          </w:tcPr>
          <w:p>
            <w:pPr>
              <w:spacing w:after="40" w:line="264" w:lineRule="auto"/>
            </w:pPr>
            <w:r>
              <w:rPr>
                <w:rFonts w:ascii="Calibri" w:hAnsi="Calibri"/>
                <w:b/>
                <w:color w:val="0B2545"/>
                <w:sz w:val="19"/>
              </w:rPr>
              <w:t>Result</w:t>
            </w:r>
          </w:p>
        </w:tc>
      </w:tr>
      <w:tr>
        <w:tc>
          <w:tcPr>
            <w:tcW w:type="dxa" w:w="1600"/>
            <w:tcMar>
              <w:top w:w="80" w:type="dxa"/>
              <w:start w:w="120" w:type="dxa"/>
              <w:bottom w:w="80" w:type="dxa"/>
              <w:end w:w="120" w:type="dxa"/>
            </w:tcMar>
            <w:vAlign w:val="center"/>
          </w:tcPr>
          <w:p>
            <w:pPr>
              <w:spacing w:after="40" w:line="264" w:lineRule="auto"/>
            </w:pPr>
            <w:r>
              <w:rPr>
                <w:rFonts w:ascii="Calibri" w:hAnsi="Calibri"/>
                <w:color w:val="0B2545"/>
                <w:sz w:val="19"/>
              </w:rPr>
              <w:t>Start grace</w:t>
            </w:r>
          </w:p>
        </w:tc>
        <w:tc>
          <w:tcPr>
            <w:tcW w:type="dxa" w:w="3900"/>
            <w:tcMar>
              <w:top w:w="80" w:type="dxa"/>
              <w:start w:w="120" w:type="dxa"/>
              <w:bottom w:w="80" w:type="dxa"/>
              <w:end w:w="120" w:type="dxa"/>
            </w:tcMar>
            <w:vAlign w:val="center"/>
          </w:tcPr>
          <w:p>
            <w:pPr>
              <w:spacing w:after="40" w:line="264" w:lineRule="auto"/>
            </w:pPr>
            <w:r>
              <w:rPr>
                <w:rFonts w:ascii="Calibri" w:hAnsi="Calibri"/>
                <w:color w:val="0B2545"/>
                <w:sz w:val="19"/>
              </w:rPr>
              <w:t>Access should continue temporarily after the normal end or failure point.</w:t>
            </w:r>
          </w:p>
        </w:tc>
        <w:tc>
          <w:tcPr>
            <w:tcW w:type="dxa" w:w="3860"/>
            <w:tcMar>
              <w:top w:w="80" w:type="dxa"/>
              <w:start w:w="120" w:type="dxa"/>
              <w:bottom w:w="80" w:type="dxa"/>
              <w:end w:w="120" w:type="dxa"/>
            </w:tcMar>
            <w:vAlign w:val="center"/>
          </w:tcPr>
          <w:p>
            <w:pPr>
              <w:spacing w:after="40" w:line="264" w:lineRule="auto"/>
            </w:pPr>
            <w:r>
              <w:rPr>
                <w:rFonts w:ascii="Calibri" w:hAnsi="Calibri"/>
                <w:color w:val="0B2545"/>
                <w:sz w:val="19"/>
              </w:rPr>
              <w:t>Period moves to grace with a defined end.</w:t>
            </w:r>
          </w:p>
        </w:tc>
      </w:tr>
      <w:tr>
        <w:tc>
          <w:tcPr>
            <w:tcW w:type="dxa" w:w="1600"/>
            <w:tcMar>
              <w:top w:w="80" w:type="dxa"/>
              <w:start w:w="120" w:type="dxa"/>
              <w:bottom w:w="80" w:type="dxa"/>
              <w:end w:w="120" w:type="dxa"/>
            </w:tcMar>
            <w:vAlign w:val="center"/>
          </w:tcPr>
          <w:p>
            <w:pPr>
              <w:spacing w:after="40" w:line="264" w:lineRule="auto"/>
            </w:pPr>
            <w:r>
              <w:rPr>
                <w:rFonts w:ascii="Calibri" w:hAnsi="Calibri"/>
                <w:color w:val="0B2545"/>
                <w:sz w:val="19"/>
              </w:rPr>
              <w:t>Reinstate</w:t>
            </w:r>
          </w:p>
        </w:tc>
        <w:tc>
          <w:tcPr>
            <w:tcW w:type="dxa" w:w="3900"/>
            <w:tcMar>
              <w:top w:w="80" w:type="dxa"/>
              <w:start w:w="120" w:type="dxa"/>
              <w:bottom w:w="80" w:type="dxa"/>
              <w:end w:w="120" w:type="dxa"/>
            </w:tcMar>
            <w:vAlign w:val="center"/>
          </w:tcPr>
          <w:p>
            <w:pPr>
              <w:spacing w:after="40" w:line="264" w:lineRule="auto"/>
            </w:pPr>
            <w:r>
              <w:rPr>
                <w:rFonts w:ascii="Calibri" w:hAnsi="Calibri"/>
                <w:color w:val="0B2545"/>
                <w:sz w:val="19"/>
              </w:rPr>
              <w:t>A recoverable problem has been resolved.</w:t>
            </w:r>
          </w:p>
        </w:tc>
        <w:tc>
          <w:tcPr>
            <w:tcW w:type="dxa" w:w="3860"/>
            <w:tcMar>
              <w:top w:w="80" w:type="dxa"/>
              <w:start w:w="120" w:type="dxa"/>
              <w:bottom w:w="80" w:type="dxa"/>
              <w:end w:w="120" w:type="dxa"/>
            </w:tcMar>
            <w:vAlign w:val="center"/>
          </w:tcPr>
          <w:p>
            <w:pPr>
              <w:spacing w:after="40" w:line="264" w:lineRule="auto"/>
            </w:pPr>
            <w:r>
              <w:rPr>
                <w:rFonts w:ascii="Calibri" w:hAnsi="Calibri"/>
                <w:color w:val="0B2545"/>
                <w:sz w:val="19"/>
              </w:rPr>
              <w:t>Period returns to active where policy permits.</w:t>
            </w:r>
          </w:p>
        </w:tc>
      </w:tr>
      <w:tr>
        <w:tc>
          <w:tcPr>
            <w:tcW w:type="dxa" w:w="1600"/>
            <w:tcMar>
              <w:top w:w="80" w:type="dxa"/>
              <w:start w:w="120" w:type="dxa"/>
              <w:bottom w:w="80" w:type="dxa"/>
              <w:end w:w="120" w:type="dxa"/>
            </w:tcMar>
            <w:vAlign w:val="center"/>
          </w:tcPr>
          <w:p>
            <w:pPr>
              <w:spacing w:after="40" w:line="264" w:lineRule="auto"/>
            </w:pPr>
            <w:r>
              <w:rPr>
                <w:rFonts w:ascii="Calibri" w:hAnsi="Calibri"/>
                <w:color w:val="0B2545"/>
                <w:sz w:val="19"/>
              </w:rPr>
              <w:t>Remove/expire</w:t>
            </w:r>
          </w:p>
        </w:tc>
        <w:tc>
          <w:tcPr>
            <w:tcW w:type="dxa" w:w="3900"/>
            <w:tcMar>
              <w:top w:w="80" w:type="dxa"/>
              <w:start w:w="120" w:type="dxa"/>
              <w:bottom w:w="80" w:type="dxa"/>
              <w:end w:w="120" w:type="dxa"/>
            </w:tcMar>
            <w:vAlign w:val="center"/>
          </w:tcPr>
          <w:p>
            <w:pPr>
              <w:spacing w:after="40" w:line="264" w:lineRule="auto"/>
            </w:pPr>
            <w:r>
              <w:rPr>
                <w:rFonts w:ascii="Calibri" w:hAnsi="Calibri"/>
                <w:color w:val="0B2545"/>
                <w:sz w:val="19"/>
              </w:rPr>
              <w:t>Access must end.</w:t>
            </w:r>
          </w:p>
        </w:tc>
        <w:tc>
          <w:tcPr>
            <w:tcW w:type="dxa" w:w="3860"/>
            <w:tcMar>
              <w:top w:w="80" w:type="dxa"/>
              <w:start w:w="120" w:type="dxa"/>
              <w:bottom w:w="80" w:type="dxa"/>
              <w:end w:w="120" w:type="dxa"/>
            </w:tcMar>
            <w:vAlign w:val="center"/>
          </w:tcPr>
          <w:p>
            <w:pPr>
              <w:spacing w:after="40" w:line="264" w:lineRule="auto"/>
            </w:pPr>
            <w:r>
              <w:rPr>
                <w:rFonts w:ascii="Calibri" w:hAnsi="Calibri"/>
                <w:color w:val="0B2545"/>
                <w:sz w:val="19"/>
              </w:rPr>
              <w:t>Current access ends; the record remains as audit history.</w:t>
            </w:r>
          </w:p>
        </w:tc>
      </w:tr>
      <w:tr>
        <w:tc>
          <w:tcPr>
            <w:tcW w:type="dxa" w:w="1600"/>
            <w:tcMar>
              <w:top w:w="80" w:type="dxa"/>
              <w:start w:w="120" w:type="dxa"/>
              <w:bottom w:w="80" w:type="dxa"/>
              <w:end w:w="120" w:type="dxa"/>
            </w:tcMar>
            <w:vAlign w:val="center"/>
          </w:tcPr>
          <w:p>
            <w:pPr>
              <w:spacing w:after="40" w:line="264" w:lineRule="auto"/>
            </w:pPr>
            <w:r>
              <w:rPr>
                <w:rFonts w:ascii="Calibri" w:hAnsi="Calibri"/>
                <w:color w:val="0B2545"/>
                <w:sz w:val="19"/>
              </w:rPr>
              <w:t>Audit record</w:t>
            </w:r>
          </w:p>
        </w:tc>
        <w:tc>
          <w:tcPr>
            <w:tcW w:type="dxa" w:w="3900"/>
            <w:tcMar>
              <w:top w:w="80" w:type="dxa"/>
              <w:start w:w="120" w:type="dxa"/>
              <w:bottom w:w="80" w:type="dxa"/>
              <w:end w:w="120" w:type="dxa"/>
            </w:tcMar>
            <w:vAlign w:val="center"/>
          </w:tcPr>
          <w:p>
            <w:pPr>
              <w:spacing w:after="40" w:line="264" w:lineRule="auto"/>
            </w:pPr>
            <w:r>
              <w:rPr>
                <w:rFonts w:ascii="Calibri" w:hAnsi="Calibri"/>
                <w:color w:val="0B2545"/>
                <w:sz w:val="19"/>
              </w:rPr>
              <w:t>The period is historical and no longer actionable.</w:t>
            </w:r>
          </w:p>
        </w:tc>
        <w:tc>
          <w:tcPr>
            <w:tcW w:type="dxa" w:w="3860"/>
            <w:tcMar>
              <w:top w:w="80" w:type="dxa"/>
              <w:start w:w="120" w:type="dxa"/>
              <w:bottom w:w="80" w:type="dxa"/>
              <w:end w:w="120" w:type="dxa"/>
            </w:tcMar>
            <w:vAlign w:val="center"/>
          </w:tcPr>
          <w:p>
            <w:pPr>
              <w:spacing w:after="40" w:line="264" w:lineRule="auto"/>
            </w:pPr>
            <w:r>
              <w:rPr>
                <w:rFonts w:ascii="Calibri" w:hAnsi="Calibri"/>
                <w:color w:val="0B2545"/>
                <w:sz w:val="19"/>
              </w:rPr>
              <w:t>No destructive action is offered.</w:t>
            </w:r>
          </w:p>
        </w:tc>
      </w:tr>
    </w:tbl>
    <w:p>
      <w:pPr>
        <w:pStyle w:val="Heading2"/>
        <w:widowControl/>
      </w:pPr>
      <w:r>
        <w:t>Renewal extension rule</w:t>
      </w:r>
    </w:p>
    <w:p>
      <w:pPr>
        <w:widowControl/>
      </w:pPr>
      <w:r>
        <w:t>A verified renewal extends existing coverage rather than starting a competing period. The next period begins immediately after the latest coverage end. Duplicate provider delivery cannot create duplicate coverage.</w:t>
      </w:r>
    </w:p>
    <w:p>
      <w:pPr>
        <w:widowControl/>
      </w:pPr>
      <w:r>
        <w:br w:type="page"/>
      </w:r>
    </w:p>
    <w:p>
      <w:pPr>
        <w:pStyle w:val="Heading1"/>
        <w:widowControl/>
      </w:pPr>
      <w:r>
        <w:t>4. Managing Private-Course Admission</w:t>
      </w:r>
    </w:p>
    <w:p>
      <w:pPr>
        <w:pStyle w:val="Heading2"/>
        <w:widowControl/>
      </w:pPr>
      <w:r>
        <w:t>Choose the admission mode</w:t>
      </w:r>
    </w:p>
    <w:tbl>
      <w:tblPr>
        <w:tblStyle w:val="TableGrid"/>
        <w:tblW w:type="dxa" w:w="9360"/>
        <w:tblLayout w:type="fixed"/>
        <w:tblLook w:firstColumn="1" w:firstRow="1" w:lastColumn="0" w:lastRow="0" w:noHBand="0" w:noVBand="1" w:val="04A0"/>
        <w:jc w:val="left"/>
        <w:tblInd w:w="120" w:type="dxa"/>
      </w:tblPr>
      <w:tblGrid>
        <w:gridCol w:w="2300"/>
        <w:gridCol w:w="3300"/>
        <w:gridCol w:w="3760"/>
      </w:tblGrid>
      <w:tr>
        <w:trPr>
          <w:tblHeader w:val="true"/>
        </w:trPr>
        <w:tc>
          <w:tcPr>
            <w:tcW w:type="dxa" w:w="2300"/>
            <w:shd w:fill="E8F3FA"/>
            <w:tcMar>
              <w:top w:w="80" w:type="dxa"/>
              <w:start w:w="120" w:type="dxa"/>
              <w:bottom w:w="80" w:type="dxa"/>
              <w:end w:w="120" w:type="dxa"/>
            </w:tcMar>
            <w:vAlign w:val="center"/>
          </w:tcPr>
          <w:p>
            <w:pPr>
              <w:spacing w:after="40" w:line="264" w:lineRule="auto"/>
            </w:pPr>
            <w:r>
              <w:rPr>
                <w:rFonts w:ascii="Calibri" w:hAnsi="Calibri"/>
                <w:b/>
                <w:color w:val="0B2545"/>
                <w:sz w:val="19"/>
              </w:rPr>
              <w:t>Mode</w:t>
            </w:r>
          </w:p>
        </w:tc>
        <w:tc>
          <w:tcPr>
            <w:tcW w:type="dxa" w:w="3300"/>
            <w:shd w:fill="E8F3FA"/>
            <w:tcMar>
              <w:top w:w="80" w:type="dxa"/>
              <w:start w:w="120" w:type="dxa"/>
              <w:bottom w:w="80" w:type="dxa"/>
              <w:end w:w="120" w:type="dxa"/>
            </w:tcMar>
            <w:vAlign w:val="center"/>
          </w:tcPr>
          <w:p>
            <w:pPr>
              <w:spacing w:after="40" w:line="264" w:lineRule="auto"/>
            </w:pPr>
            <w:r>
              <w:rPr>
                <w:rFonts w:ascii="Calibri" w:hAnsi="Calibri"/>
                <w:b/>
                <w:color w:val="0B2545"/>
                <w:sz w:val="19"/>
              </w:rPr>
              <w:t>Best for</w:t>
            </w:r>
          </w:p>
        </w:tc>
        <w:tc>
          <w:tcPr>
            <w:tcW w:type="dxa" w:w="3760"/>
            <w:shd w:fill="E8F3FA"/>
            <w:tcMar>
              <w:top w:w="80" w:type="dxa"/>
              <w:start w:w="120" w:type="dxa"/>
              <w:bottom w:w="80" w:type="dxa"/>
              <w:end w:w="120" w:type="dxa"/>
            </w:tcMar>
            <w:vAlign w:val="center"/>
          </w:tcPr>
          <w:p>
            <w:pPr>
              <w:spacing w:after="40" w:line="264" w:lineRule="auto"/>
            </w:pPr>
            <w:r>
              <w:rPr>
                <w:rFonts w:ascii="Calibri" w:hAnsi="Calibri"/>
                <w:b/>
                <w:color w:val="0B2545"/>
                <w:sz w:val="19"/>
              </w:rPr>
              <w:t>What happens after payment</w:t>
            </w:r>
          </w:p>
        </w:tc>
      </w:tr>
      <w:tr>
        <w:tc>
          <w:tcPr>
            <w:tcW w:type="dxa" w:w="2300"/>
            <w:tcMar>
              <w:top w:w="80" w:type="dxa"/>
              <w:start w:w="120" w:type="dxa"/>
              <w:bottom w:w="80" w:type="dxa"/>
              <w:end w:w="120" w:type="dxa"/>
            </w:tcMar>
            <w:vAlign w:val="center"/>
          </w:tcPr>
          <w:p>
            <w:pPr>
              <w:spacing w:after="40" w:line="264" w:lineRule="auto"/>
            </w:pPr>
            <w:r>
              <w:rPr>
                <w:rFonts w:ascii="Calibri" w:hAnsi="Calibri"/>
                <w:color w:val="0B2545"/>
                <w:sz w:val="19"/>
              </w:rPr>
              <w:t>Admit on payment</w:t>
            </w:r>
          </w:p>
        </w:tc>
        <w:tc>
          <w:tcPr>
            <w:tcW w:type="dxa" w:w="3300"/>
            <w:tcMar>
              <w:top w:w="80" w:type="dxa"/>
              <w:start w:w="120" w:type="dxa"/>
              <w:bottom w:w="80" w:type="dxa"/>
              <w:end w:w="120" w:type="dxa"/>
            </w:tcMar>
            <w:vAlign w:val="center"/>
          </w:tcPr>
          <w:p>
            <w:pPr>
              <w:spacing w:after="40" w:line="264" w:lineRule="auto"/>
            </w:pPr>
            <w:r>
              <w:rPr>
                <w:rFonts w:ascii="Calibri" w:hAnsi="Calibri"/>
                <w:color w:val="0B2545"/>
                <w:sz w:val="19"/>
              </w:rPr>
              <w:t>A course whose only prerequisite is the fee.</w:t>
            </w:r>
          </w:p>
        </w:tc>
        <w:tc>
          <w:tcPr>
            <w:tcW w:type="dxa" w:w="3760"/>
            <w:tcMar>
              <w:top w:w="80" w:type="dxa"/>
              <w:start w:w="120" w:type="dxa"/>
              <w:bottom w:w="80" w:type="dxa"/>
              <w:end w:w="120" w:type="dxa"/>
            </w:tcMar>
            <w:vAlign w:val="center"/>
          </w:tcPr>
          <w:p>
            <w:pPr>
              <w:spacing w:after="40" w:line="264" w:lineRule="auto"/>
            </w:pPr>
            <w:r>
              <w:rPr>
                <w:rFonts w:ascii="Calibri" w:hAnsi="Calibri"/>
                <w:color w:val="0B2545"/>
                <w:sz w:val="19"/>
              </w:rPr>
              <w:t>A verified successful event admits the learner automatically.</w:t>
            </w:r>
          </w:p>
        </w:tc>
      </w:tr>
      <w:tr>
        <w:tc>
          <w:tcPr>
            <w:tcW w:type="dxa" w:w="2300"/>
            <w:tcMar>
              <w:top w:w="80" w:type="dxa"/>
              <w:start w:w="120" w:type="dxa"/>
              <w:bottom w:w="80" w:type="dxa"/>
              <w:end w:w="120" w:type="dxa"/>
            </w:tcMar>
            <w:vAlign w:val="center"/>
          </w:tcPr>
          <w:p>
            <w:pPr>
              <w:spacing w:after="40" w:line="264" w:lineRule="auto"/>
            </w:pPr>
            <w:r>
              <w:rPr>
                <w:rFonts w:ascii="Calibri" w:hAnsi="Calibri"/>
                <w:color w:val="0B2545"/>
                <w:sz w:val="19"/>
              </w:rPr>
              <w:t>Manual admission required</w:t>
            </w:r>
          </w:p>
        </w:tc>
        <w:tc>
          <w:tcPr>
            <w:tcW w:type="dxa" w:w="3300"/>
            <w:tcMar>
              <w:top w:w="80" w:type="dxa"/>
              <w:start w:w="120" w:type="dxa"/>
              <w:bottom w:w="80" w:type="dxa"/>
              <w:end w:w="120" w:type="dxa"/>
            </w:tcMar>
            <w:vAlign w:val="center"/>
          </w:tcPr>
          <w:p>
            <w:pPr>
              <w:spacing w:after="40" w:line="264" w:lineRule="auto"/>
            </w:pPr>
            <w:r>
              <w:rPr>
                <w:rFonts w:ascii="Calibri" w:hAnsi="Calibri"/>
                <w:color w:val="0B2545"/>
                <w:sz w:val="19"/>
              </w:rPr>
              <w:t>College, accredited or selective programmes with an application decision.</w:t>
            </w:r>
          </w:p>
        </w:tc>
        <w:tc>
          <w:tcPr>
            <w:tcW w:type="dxa" w:w="3760"/>
            <w:tcMar>
              <w:top w:w="80" w:type="dxa"/>
              <w:start w:w="120" w:type="dxa"/>
              <w:bottom w:w="80" w:type="dxa"/>
              <w:end w:w="120" w:type="dxa"/>
            </w:tcMar>
            <w:vAlign w:val="center"/>
          </w:tcPr>
          <w:p>
            <w:pPr>
              <w:spacing w:after="40" w:line="264" w:lineRule="auto"/>
            </w:pPr>
            <w:r>
              <w:rPr>
                <w:rFonts w:ascii="Calibri" w:hAnsi="Calibri"/>
                <w:color w:val="0B2545"/>
                <w:sz w:val="19"/>
              </w:rPr>
              <w:t>Payment may be reviewed, but a human makes the admission decision.</w:t>
            </w:r>
          </w:p>
        </w:tc>
      </w:tr>
    </w:tbl>
    <w:p>
      <w:pPr>
        <w:pStyle w:val="Heading2"/>
        <w:widowControl/>
      </w:pPr>
      <w:r>
        <w:t>Configure automatic admission</w:t>
      </w:r>
    </w:p>
    <w:p>
      <w:pPr>
        <w:spacing w:after="80" w:line="300" w:lineRule="auto"/>
        <w:ind w:left="540" w:hanging="271"/>
        <w:widowControl/>
        <w:numPr>
          <w:ilvl w:val="0"/>
          <w:numId w:val="12"/>
        </w:numPr>
      </w:pPr>
      <w:r>
        <w:t>Set the course access policy to Private.</w:t>
      </w:r>
    </w:p>
    <w:p>
      <w:pPr>
        <w:spacing w:after="80" w:line="300" w:lineRule="auto"/>
        <w:ind w:left="540" w:hanging="271"/>
        <w:widowControl/>
        <w:numPr>
          <w:ilvl w:val="0"/>
          <w:numId w:val="12"/>
        </w:numPr>
      </w:pPr>
      <w:r>
        <w:t>Choose Admit on payment in the course settings.</w:t>
      </w:r>
    </w:p>
    <w:p>
      <w:pPr>
        <w:spacing w:after="80" w:line="300" w:lineRule="auto"/>
        <w:ind w:left="540" w:hanging="271"/>
        <w:widowControl/>
        <w:numPr>
          <w:ilvl w:val="0"/>
          <w:numId w:val="12"/>
        </w:numPr>
      </w:pPr>
      <w:r>
        <w:t>Create one private-course product referencing that exact course.</w:t>
      </w:r>
    </w:p>
    <w:p>
      <w:pPr>
        <w:spacing w:after="80" w:line="300" w:lineRule="auto"/>
        <w:ind w:left="540" w:hanging="271"/>
        <w:widowControl/>
        <w:numPr>
          <w:ilvl w:val="0"/>
          <w:numId w:val="12"/>
        </w:numPr>
      </w:pPr>
      <w:r>
        <w:t>Publish a current price.</w:t>
      </w:r>
    </w:p>
    <w:p>
      <w:pPr>
        <w:spacing w:after="80" w:line="300" w:lineRule="auto"/>
        <w:ind w:left="540" w:hanging="271"/>
        <w:widowControl/>
        <w:numPr>
          <w:ilvl w:val="0"/>
          <w:numId w:val="12"/>
        </w:numPr>
      </w:pPr>
      <w:r>
        <w:t>Run the fake-provider success journey with a test learner.</w:t>
      </w:r>
    </w:p>
    <w:p>
      <w:pPr>
        <w:spacing w:after="80" w:line="300" w:lineRule="auto"/>
        <w:ind w:left="540" w:hanging="271"/>
        <w:widowControl/>
        <w:numPr>
          <w:ilvl w:val="0"/>
          <w:numId w:val="12"/>
        </w:numPr>
      </w:pPr>
      <w:r>
        <w:t>Confirm the learner can enter the course and cannot buy the same permanent access again.</w:t>
      </w:r>
    </w:p>
    <w:p>
      <w:pPr>
        <w:pStyle w:val="Heading2"/>
        <w:widowControl/>
      </w:pPr>
      <w:r>
        <w:t>Operate manual admission</w:t>
      </w:r>
    </w:p>
    <w:p>
      <w:pPr>
        <w:pStyle w:val="ListBullet"/>
        <w:widowControl/>
      </w:pPr>
      <w:r>
        <w:t>Keep payment review and academic/admission approval separate.</w:t>
      </w:r>
    </w:p>
    <w:p>
      <w:pPr>
        <w:pStyle w:val="ListBullet"/>
        <w:widowControl/>
      </w:pPr>
      <w:r>
        <w:t>Accept evidence of payment made outside Chisimba when the organisation’s finance process permits it.</w:t>
      </w:r>
    </w:p>
    <w:p>
      <w:pPr>
        <w:pStyle w:val="ListBullet"/>
        <w:widowControl/>
      </w:pPr>
      <w:r>
        <w:t>Admit one person at a time from the course/group interface until bulk import is delivered.</w:t>
      </w:r>
    </w:p>
    <w:p>
      <w:pPr>
        <w:pStyle w:val="ListBullet"/>
        <w:widowControl/>
      </w:pPr>
      <w:r>
        <w:t>Use a reason and correlation reference. Never delete the history to “tidy” the interface.</w:t>
      </w:r>
    </w:p>
    <w:p>
      <w:pPr>
        <w:pStyle w:val="GuideNote"/>
        <w:shd w:fill="E8F3FA"/>
        <w:widowControl/>
        <w:pBdr>
          <w:left w:val="single" w:sz="18" w:space="8" w:color="8ABBDD"/>
        </w:pBdr>
      </w:pPr>
      <w:r>
        <w:rPr>
          <w:b/>
        </w:rPr>
        <w:t xml:space="preserve">Planned capability  </w:t>
      </w:r>
      <w:r>
        <w:t>CSV admission upload and a dedicated exceptional payment-review view remain future operational improvements.</w:t>
      </w:r>
    </w:p>
    <w:p>
      <w:pPr>
        <w:widowControl/>
      </w:pPr>
      <w:r>
        <w:br w:type="page"/>
      </w:r>
    </w:p>
    <w:p>
      <w:pPr>
        <w:pStyle w:val="Heading1"/>
        <w:widowControl/>
      </w:pPr>
      <w:r>
        <w:t>5. Payment operations and reconciliation</w:t>
      </w:r>
    </w:p>
    <w:p>
      <w:pPr>
        <w:pStyle w:val="Heading2"/>
        <w:widowControl/>
      </w:pPr>
      <w:r>
        <w:t>Understand the checkout states</w:t>
      </w:r>
    </w:p>
    <w:tbl>
      <w:tblPr>
        <w:tblStyle w:val="TableGrid"/>
        <w:tblW w:type="dxa" w:w="9360"/>
        <w:tblLayout w:type="fixed"/>
        <w:tblLook w:firstColumn="1" w:firstRow="1" w:lastColumn="0" w:lastRow="0" w:noHBand="0" w:noVBand="1" w:val="04A0"/>
        <w:jc w:val="left"/>
        <w:tblInd w:w="120" w:type="dxa"/>
      </w:tblPr>
      <w:tblGrid>
        <w:gridCol w:w="1800"/>
        <w:gridCol w:w="3300"/>
        <w:gridCol w:w="4260"/>
      </w:tblGrid>
      <w:tr>
        <w:trPr>
          <w:tblHeader w:val="true"/>
        </w:trPr>
        <w:tc>
          <w:tcPr>
            <w:tcW w:type="dxa" w:w="1800"/>
            <w:shd w:fill="E8F3FA"/>
            <w:tcMar>
              <w:top w:w="80" w:type="dxa"/>
              <w:start w:w="120" w:type="dxa"/>
              <w:bottom w:w="80" w:type="dxa"/>
              <w:end w:w="120" w:type="dxa"/>
            </w:tcMar>
            <w:vAlign w:val="center"/>
          </w:tcPr>
          <w:p>
            <w:pPr>
              <w:spacing w:after="40" w:line="264" w:lineRule="auto"/>
            </w:pPr>
            <w:r>
              <w:rPr>
                <w:rFonts w:ascii="Calibri" w:hAnsi="Calibri"/>
                <w:b/>
                <w:color w:val="0B2545"/>
                <w:sz w:val="19"/>
              </w:rPr>
              <w:t>State</w:t>
            </w:r>
          </w:p>
        </w:tc>
        <w:tc>
          <w:tcPr>
            <w:tcW w:type="dxa" w:w="3300"/>
            <w:shd w:fill="E8F3FA"/>
            <w:tcMar>
              <w:top w:w="80" w:type="dxa"/>
              <w:start w:w="120" w:type="dxa"/>
              <w:bottom w:w="80" w:type="dxa"/>
              <w:end w:w="120" w:type="dxa"/>
            </w:tcMar>
            <w:vAlign w:val="center"/>
          </w:tcPr>
          <w:p>
            <w:pPr>
              <w:spacing w:after="40" w:line="264" w:lineRule="auto"/>
            </w:pPr>
            <w:r>
              <w:rPr>
                <w:rFonts w:ascii="Calibri" w:hAnsi="Calibri"/>
                <w:b/>
                <w:color w:val="0B2545"/>
                <w:sz w:val="19"/>
              </w:rPr>
              <w:t>Meaning</w:t>
            </w:r>
          </w:p>
        </w:tc>
        <w:tc>
          <w:tcPr>
            <w:tcW w:type="dxa" w:w="4260"/>
            <w:shd w:fill="E8F3FA"/>
            <w:tcMar>
              <w:top w:w="80" w:type="dxa"/>
              <w:start w:w="120" w:type="dxa"/>
              <w:bottom w:w="80" w:type="dxa"/>
              <w:end w:w="120" w:type="dxa"/>
            </w:tcMar>
            <w:vAlign w:val="center"/>
          </w:tcPr>
          <w:p>
            <w:pPr>
              <w:spacing w:after="40" w:line="264" w:lineRule="auto"/>
            </w:pPr>
            <w:r>
              <w:rPr>
                <w:rFonts w:ascii="Calibri" w:hAnsi="Calibri"/>
                <w:b/>
                <w:color w:val="0B2545"/>
                <w:sz w:val="19"/>
              </w:rPr>
              <w:t>Operator response</w:t>
            </w:r>
          </w:p>
        </w:tc>
      </w:tr>
      <w:tr>
        <w:tc>
          <w:tcPr>
            <w:tcW w:type="dxa" w:w="1800"/>
            <w:tcMar>
              <w:top w:w="80" w:type="dxa"/>
              <w:start w:w="120" w:type="dxa"/>
              <w:bottom w:w="80" w:type="dxa"/>
              <w:end w:w="120" w:type="dxa"/>
            </w:tcMar>
            <w:vAlign w:val="center"/>
          </w:tcPr>
          <w:p>
            <w:pPr>
              <w:spacing w:after="40" w:line="264" w:lineRule="auto"/>
            </w:pPr>
            <w:r>
              <w:rPr>
                <w:rFonts w:ascii="Calibri" w:hAnsi="Calibri"/>
                <w:color w:val="0B2545"/>
                <w:sz w:val="19"/>
              </w:rPr>
              <w:t>created</w:t>
            </w:r>
          </w:p>
        </w:tc>
        <w:tc>
          <w:tcPr>
            <w:tcW w:type="dxa" w:w="3300"/>
            <w:tcMar>
              <w:top w:w="80" w:type="dxa"/>
              <w:start w:w="120" w:type="dxa"/>
              <w:bottom w:w="80" w:type="dxa"/>
              <w:end w:w="120" w:type="dxa"/>
            </w:tcMar>
            <w:vAlign w:val="center"/>
          </w:tcPr>
          <w:p>
            <w:pPr>
              <w:spacing w:after="40" w:line="264" w:lineRule="auto"/>
            </w:pPr>
            <w:r>
              <w:rPr>
                <w:rFonts w:ascii="Calibri" w:hAnsi="Calibri"/>
                <w:color w:val="0B2545"/>
                <w:sz w:val="19"/>
              </w:rPr>
              <w:t>Intent exists; provider checkout has not completed.</w:t>
            </w:r>
          </w:p>
        </w:tc>
        <w:tc>
          <w:tcPr>
            <w:tcW w:type="dxa" w:w="4260"/>
            <w:tcMar>
              <w:top w:w="80" w:type="dxa"/>
              <w:start w:w="120" w:type="dxa"/>
              <w:bottom w:w="80" w:type="dxa"/>
              <w:end w:w="120" w:type="dxa"/>
            </w:tcMar>
            <w:vAlign w:val="center"/>
          </w:tcPr>
          <w:p>
            <w:pPr>
              <w:spacing w:after="40" w:line="264" w:lineRule="auto"/>
            </w:pPr>
            <w:r>
              <w:rPr>
                <w:rFonts w:ascii="Calibri" w:hAnsi="Calibri"/>
                <w:color w:val="0B2545"/>
                <w:sz w:val="19"/>
              </w:rPr>
              <w:t>Normally wait; investigate only if unusually old.</w:t>
            </w:r>
          </w:p>
        </w:tc>
      </w:tr>
      <w:tr>
        <w:tc>
          <w:tcPr>
            <w:tcW w:type="dxa" w:w="1800"/>
            <w:tcMar>
              <w:top w:w="80" w:type="dxa"/>
              <w:start w:w="120" w:type="dxa"/>
              <w:bottom w:w="80" w:type="dxa"/>
              <w:end w:w="120" w:type="dxa"/>
            </w:tcMar>
            <w:vAlign w:val="center"/>
          </w:tcPr>
          <w:p>
            <w:pPr>
              <w:spacing w:after="40" w:line="264" w:lineRule="auto"/>
            </w:pPr>
            <w:r>
              <w:rPr>
                <w:rFonts w:ascii="Calibri" w:hAnsi="Calibri"/>
                <w:color w:val="0B2545"/>
                <w:sz w:val="19"/>
              </w:rPr>
              <w:t>awaiting_approval</w:t>
            </w:r>
          </w:p>
        </w:tc>
        <w:tc>
          <w:tcPr>
            <w:tcW w:type="dxa" w:w="3300"/>
            <w:tcMar>
              <w:top w:w="80" w:type="dxa"/>
              <w:start w:w="120" w:type="dxa"/>
              <w:bottom w:w="80" w:type="dxa"/>
              <w:end w:w="120" w:type="dxa"/>
            </w:tcMar>
            <w:vAlign w:val="center"/>
          </w:tcPr>
          <w:p>
            <w:pPr>
              <w:spacing w:after="40" w:line="264" w:lineRule="auto"/>
            </w:pPr>
            <w:r>
              <w:rPr>
                <w:rFonts w:ascii="Calibri" w:hAnsi="Calibri"/>
                <w:color w:val="0B2545"/>
                <w:sz w:val="19"/>
              </w:rPr>
              <w:t>Customer/provider action or verified event is pending.</w:t>
            </w:r>
          </w:p>
        </w:tc>
        <w:tc>
          <w:tcPr>
            <w:tcW w:type="dxa" w:w="4260"/>
            <w:tcMar>
              <w:top w:w="80" w:type="dxa"/>
              <w:start w:w="120" w:type="dxa"/>
              <w:bottom w:w="80" w:type="dxa"/>
              <w:end w:w="120" w:type="dxa"/>
            </w:tcMar>
            <w:vAlign w:val="center"/>
          </w:tcPr>
          <w:p>
            <w:pPr>
              <w:spacing w:after="40" w:line="264" w:lineRule="auto"/>
            </w:pPr>
            <w:r>
              <w:rPr>
                <w:rFonts w:ascii="Calibri" w:hAnsi="Calibri"/>
                <w:color w:val="0B2545"/>
                <w:sz w:val="19"/>
              </w:rPr>
              <w:t>Do not grant access from the browser return.</w:t>
            </w:r>
          </w:p>
        </w:tc>
      </w:tr>
      <w:tr>
        <w:tc>
          <w:tcPr>
            <w:tcW w:type="dxa" w:w="1800"/>
            <w:tcMar>
              <w:top w:w="80" w:type="dxa"/>
              <w:start w:w="120" w:type="dxa"/>
              <w:bottom w:w="80" w:type="dxa"/>
              <w:end w:w="120" w:type="dxa"/>
            </w:tcMar>
            <w:vAlign w:val="center"/>
          </w:tcPr>
          <w:p>
            <w:pPr>
              <w:spacing w:after="40" w:line="264" w:lineRule="auto"/>
            </w:pPr>
            <w:r>
              <w:rPr>
                <w:rFonts w:ascii="Calibri" w:hAnsi="Calibri"/>
                <w:color w:val="0B2545"/>
                <w:sz w:val="19"/>
              </w:rPr>
              <w:t>succeeded</w:t>
            </w:r>
          </w:p>
        </w:tc>
        <w:tc>
          <w:tcPr>
            <w:tcW w:type="dxa" w:w="3300"/>
            <w:tcMar>
              <w:top w:w="80" w:type="dxa"/>
              <w:start w:w="120" w:type="dxa"/>
              <w:bottom w:w="80" w:type="dxa"/>
              <w:end w:w="120" w:type="dxa"/>
            </w:tcMar>
            <w:vAlign w:val="center"/>
          </w:tcPr>
          <w:p>
            <w:pPr>
              <w:spacing w:after="40" w:line="264" w:lineRule="auto"/>
            </w:pPr>
            <w:r>
              <w:rPr>
                <w:rFonts w:ascii="Calibri" w:hAnsi="Calibri"/>
                <w:color w:val="0B2545"/>
                <w:sz w:val="19"/>
              </w:rPr>
              <w:t>Provider-confirmed payment was accepted.</w:t>
            </w:r>
          </w:p>
        </w:tc>
        <w:tc>
          <w:tcPr>
            <w:tcW w:type="dxa" w:w="4260"/>
            <w:tcMar>
              <w:top w:w="80" w:type="dxa"/>
              <w:start w:w="120" w:type="dxa"/>
              <w:bottom w:w="80" w:type="dxa"/>
              <w:end w:w="120" w:type="dxa"/>
            </w:tcMar>
            <w:vAlign w:val="center"/>
          </w:tcPr>
          <w:p>
            <w:pPr>
              <w:spacing w:after="40" w:line="264" w:lineRule="auto"/>
            </w:pPr>
            <w:r>
              <w:rPr>
                <w:rFonts w:ascii="Calibri" w:hAnsi="Calibri"/>
                <w:color w:val="0B2545"/>
                <w:sz w:val="19"/>
              </w:rPr>
              <w:t>Confirm expected fulfilment was recorded.</w:t>
            </w:r>
          </w:p>
        </w:tc>
      </w:tr>
      <w:tr>
        <w:tc>
          <w:tcPr>
            <w:tcW w:type="dxa" w:w="1800"/>
            <w:tcMar>
              <w:top w:w="80" w:type="dxa"/>
              <w:start w:w="120" w:type="dxa"/>
              <w:bottom w:w="80" w:type="dxa"/>
              <w:end w:w="120" w:type="dxa"/>
            </w:tcMar>
            <w:vAlign w:val="center"/>
          </w:tcPr>
          <w:p>
            <w:pPr>
              <w:spacing w:after="40" w:line="264" w:lineRule="auto"/>
            </w:pPr>
            <w:r>
              <w:rPr>
                <w:rFonts w:ascii="Calibri" w:hAnsi="Calibri"/>
                <w:color w:val="0B2545"/>
                <w:sz w:val="19"/>
              </w:rPr>
              <w:t>failed</w:t>
            </w:r>
          </w:p>
        </w:tc>
        <w:tc>
          <w:tcPr>
            <w:tcW w:type="dxa" w:w="3300"/>
            <w:tcMar>
              <w:top w:w="80" w:type="dxa"/>
              <w:start w:w="120" w:type="dxa"/>
              <w:bottom w:w="80" w:type="dxa"/>
              <w:end w:w="120" w:type="dxa"/>
            </w:tcMar>
            <w:vAlign w:val="center"/>
          </w:tcPr>
          <w:p>
            <w:pPr>
              <w:spacing w:after="40" w:line="264" w:lineRule="auto"/>
            </w:pPr>
            <w:r>
              <w:rPr>
                <w:rFonts w:ascii="Calibri" w:hAnsi="Calibri"/>
                <w:color w:val="0B2545"/>
                <w:sz w:val="19"/>
              </w:rPr>
              <w:t>Provider reported a failure.</w:t>
            </w:r>
          </w:p>
        </w:tc>
        <w:tc>
          <w:tcPr>
            <w:tcW w:type="dxa" w:w="4260"/>
            <w:tcMar>
              <w:top w:w="80" w:type="dxa"/>
              <w:start w:w="120" w:type="dxa"/>
              <w:bottom w:w="80" w:type="dxa"/>
              <w:end w:w="120" w:type="dxa"/>
            </w:tcMar>
            <w:vAlign w:val="center"/>
          </w:tcPr>
          <w:p>
            <w:pPr>
              <w:spacing w:after="40" w:line="264" w:lineRule="auto"/>
            </w:pPr>
            <w:r>
              <w:rPr>
                <w:rFonts w:ascii="Calibri" w:hAnsi="Calibri"/>
                <w:color w:val="0B2545"/>
                <w:sz w:val="19"/>
              </w:rPr>
              <w:t>Give the learner a humane retry route.</w:t>
            </w:r>
          </w:p>
        </w:tc>
      </w:tr>
      <w:tr>
        <w:tc>
          <w:tcPr>
            <w:tcW w:type="dxa" w:w="1800"/>
            <w:tcMar>
              <w:top w:w="80" w:type="dxa"/>
              <w:start w:w="120" w:type="dxa"/>
              <w:bottom w:w="80" w:type="dxa"/>
              <w:end w:w="120" w:type="dxa"/>
            </w:tcMar>
            <w:vAlign w:val="center"/>
          </w:tcPr>
          <w:p>
            <w:pPr>
              <w:spacing w:after="40" w:line="264" w:lineRule="auto"/>
            </w:pPr>
            <w:r>
              <w:rPr>
                <w:rFonts w:ascii="Calibri" w:hAnsi="Calibri"/>
                <w:color w:val="0B2545"/>
                <w:sz w:val="19"/>
              </w:rPr>
              <w:t>abandoned</w:t>
            </w:r>
          </w:p>
        </w:tc>
        <w:tc>
          <w:tcPr>
            <w:tcW w:type="dxa" w:w="3300"/>
            <w:tcMar>
              <w:top w:w="80" w:type="dxa"/>
              <w:start w:w="120" w:type="dxa"/>
              <w:bottom w:w="80" w:type="dxa"/>
              <w:end w:w="120" w:type="dxa"/>
            </w:tcMar>
            <w:vAlign w:val="center"/>
          </w:tcPr>
          <w:p>
            <w:pPr>
              <w:spacing w:after="40" w:line="264" w:lineRule="auto"/>
            </w:pPr>
            <w:r>
              <w:rPr>
                <w:rFonts w:ascii="Calibri" w:hAnsi="Calibri"/>
                <w:color w:val="0B2545"/>
                <w:sz w:val="19"/>
              </w:rPr>
              <w:t>The checkout was not completed.</w:t>
            </w:r>
          </w:p>
        </w:tc>
        <w:tc>
          <w:tcPr>
            <w:tcW w:type="dxa" w:w="4260"/>
            <w:tcMar>
              <w:top w:w="80" w:type="dxa"/>
              <w:start w:w="120" w:type="dxa"/>
              <w:bottom w:w="80" w:type="dxa"/>
              <w:end w:w="120" w:type="dxa"/>
            </w:tcMar>
            <w:vAlign w:val="center"/>
          </w:tcPr>
          <w:p>
            <w:pPr>
              <w:spacing w:after="40" w:line="264" w:lineRule="auto"/>
            </w:pPr>
            <w:r>
              <w:rPr>
                <w:rFonts w:ascii="Calibri" w:hAnsi="Calibri"/>
                <w:color w:val="0B2545"/>
                <w:sz w:val="19"/>
              </w:rPr>
              <w:t>No access; customer may start again.</w:t>
            </w:r>
          </w:p>
        </w:tc>
      </w:tr>
      <w:tr>
        <w:tc>
          <w:tcPr>
            <w:tcW w:type="dxa" w:w="1800"/>
            <w:tcMar>
              <w:top w:w="80" w:type="dxa"/>
              <w:start w:w="120" w:type="dxa"/>
              <w:bottom w:w="80" w:type="dxa"/>
              <w:end w:w="120" w:type="dxa"/>
            </w:tcMar>
            <w:vAlign w:val="center"/>
          </w:tcPr>
          <w:p>
            <w:pPr>
              <w:spacing w:after="40" w:line="264" w:lineRule="auto"/>
            </w:pPr>
            <w:r>
              <w:rPr>
                <w:rFonts w:ascii="Calibri" w:hAnsi="Calibri"/>
                <w:color w:val="0B2545"/>
                <w:sz w:val="19"/>
              </w:rPr>
              <w:t>refunded</w:t>
            </w:r>
          </w:p>
        </w:tc>
        <w:tc>
          <w:tcPr>
            <w:tcW w:type="dxa" w:w="3300"/>
            <w:tcMar>
              <w:top w:w="80" w:type="dxa"/>
              <w:start w:w="120" w:type="dxa"/>
              <w:bottom w:w="80" w:type="dxa"/>
              <w:end w:w="120" w:type="dxa"/>
            </w:tcMar>
            <w:vAlign w:val="center"/>
          </w:tcPr>
          <w:p>
            <w:pPr>
              <w:spacing w:after="40" w:line="264" w:lineRule="auto"/>
            </w:pPr>
            <w:r>
              <w:rPr>
                <w:rFonts w:ascii="Calibri" w:hAnsi="Calibri"/>
                <w:color w:val="0B2545"/>
                <w:sz w:val="19"/>
              </w:rPr>
              <w:t>Money was returned.</w:t>
            </w:r>
          </w:p>
        </w:tc>
        <w:tc>
          <w:tcPr>
            <w:tcW w:type="dxa" w:w="4260"/>
            <w:tcMar>
              <w:top w:w="80" w:type="dxa"/>
              <w:start w:w="120" w:type="dxa"/>
              <w:bottom w:w="80" w:type="dxa"/>
              <w:end w:w="120" w:type="dxa"/>
            </w:tcMar>
            <w:vAlign w:val="center"/>
          </w:tcPr>
          <w:p>
            <w:pPr>
              <w:spacing w:after="40" w:line="264" w:lineRule="auto"/>
            </w:pPr>
            <w:r>
              <w:rPr>
                <w:rFonts w:ascii="Calibri" w:hAnsi="Calibri"/>
                <w:color w:val="0B2545"/>
                <w:sz w:val="19"/>
              </w:rPr>
              <w:t>Payment-created access is withdrawn by current policy.</w:t>
            </w:r>
          </w:p>
        </w:tc>
      </w:tr>
      <w:tr>
        <w:tc>
          <w:tcPr>
            <w:tcW w:type="dxa" w:w="1800"/>
            <w:tcMar>
              <w:top w:w="80" w:type="dxa"/>
              <w:start w:w="120" w:type="dxa"/>
              <w:bottom w:w="80" w:type="dxa"/>
              <w:end w:w="120" w:type="dxa"/>
            </w:tcMar>
            <w:vAlign w:val="center"/>
          </w:tcPr>
          <w:p>
            <w:pPr>
              <w:spacing w:after="40" w:line="264" w:lineRule="auto"/>
            </w:pPr>
            <w:r>
              <w:rPr>
                <w:rFonts w:ascii="Calibri" w:hAnsi="Calibri"/>
                <w:color w:val="0B2545"/>
                <w:sz w:val="19"/>
              </w:rPr>
              <w:t>reversed</w:t>
            </w:r>
          </w:p>
        </w:tc>
        <w:tc>
          <w:tcPr>
            <w:tcW w:type="dxa" w:w="3300"/>
            <w:tcMar>
              <w:top w:w="80" w:type="dxa"/>
              <w:start w:w="120" w:type="dxa"/>
              <w:bottom w:w="80" w:type="dxa"/>
              <w:end w:w="120" w:type="dxa"/>
            </w:tcMar>
            <w:vAlign w:val="center"/>
          </w:tcPr>
          <w:p>
            <w:pPr>
              <w:spacing w:after="40" w:line="264" w:lineRule="auto"/>
            </w:pPr>
            <w:r>
              <w:rPr>
                <w:rFonts w:ascii="Calibri" w:hAnsi="Calibri"/>
                <w:color w:val="0B2545"/>
                <w:sz w:val="19"/>
              </w:rPr>
              <w:t>Provider reversed the payment.</w:t>
            </w:r>
          </w:p>
        </w:tc>
        <w:tc>
          <w:tcPr>
            <w:tcW w:type="dxa" w:w="4260"/>
            <w:tcMar>
              <w:top w:w="80" w:type="dxa"/>
              <w:start w:w="120" w:type="dxa"/>
              <w:bottom w:w="80" w:type="dxa"/>
              <w:end w:w="120" w:type="dxa"/>
            </w:tcMar>
            <w:vAlign w:val="center"/>
          </w:tcPr>
          <w:p>
            <w:pPr>
              <w:spacing w:after="40" w:line="264" w:lineRule="auto"/>
            </w:pPr>
            <w:r>
              <w:rPr>
                <w:rFonts w:ascii="Calibri" w:hAnsi="Calibri"/>
                <w:color w:val="0B2545"/>
                <w:sz w:val="19"/>
              </w:rPr>
              <w:t>Payment-created access is withdrawn.</w:t>
            </w:r>
          </w:p>
        </w:tc>
      </w:tr>
      <w:tr>
        <w:tc>
          <w:tcPr>
            <w:tcW w:type="dxa" w:w="1800"/>
            <w:tcMar>
              <w:top w:w="80" w:type="dxa"/>
              <w:start w:w="120" w:type="dxa"/>
              <w:bottom w:w="80" w:type="dxa"/>
              <w:end w:w="120" w:type="dxa"/>
            </w:tcMar>
            <w:vAlign w:val="center"/>
          </w:tcPr>
          <w:p>
            <w:pPr>
              <w:spacing w:after="40" w:line="264" w:lineRule="auto"/>
            </w:pPr>
            <w:r>
              <w:rPr>
                <w:rFonts w:ascii="Calibri" w:hAnsi="Calibri"/>
                <w:color w:val="0B2545"/>
                <w:sz w:val="19"/>
              </w:rPr>
              <w:t>disputed</w:t>
            </w:r>
          </w:p>
        </w:tc>
        <w:tc>
          <w:tcPr>
            <w:tcW w:type="dxa" w:w="3300"/>
            <w:tcMar>
              <w:top w:w="80" w:type="dxa"/>
              <w:start w:w="120" w:type="dxa"/>
              <w:bottom w:w="80" w:type="dxa"/>
              <w:end w:w="120" w:type="dxa"/>
            </w:tcMar>
            <w:vAlign w:val="center"/>
          </w:tcPr>
          <w:p>
            <w:pPr>
              <w:spacing w:after="40" w:line="264" w:lineRule="auto"/>
            </w:pPr>
            <w:r>
              <w:rPr>
                <w:rFonts w:ascii="Calibri" w:hAnsi="Calibri"/>
                <w:color w:val="0B2545"/>
                <w:sz w:val="19"/>
              </w:rPr>
              <w:t>The payment is under dispute.</w:t>
            </w:r>
          </w:p>
        </w:tc>
        <w:tc>
          <w:tcPr>
            <w:tcW w:type="dxa" w:w="4260"/>
            <w:tcMar>
              <w:top w:w="80" w:type="dxa"/>
              <w:start w:w="120" w:type="dxa"/>
              <w:bottom w:w="80" w:type="dxa"/>
              <w:end w:w="120" w:type="dxa"/>
            </w:tcMar>
            <w:vAlign w:val="center"/>
          </w:tcPr>
          <w:p>
            <w:pPr>
              <w:spacing w:after="40" w:line="264" w:lineRule="auto"/>
            </w:pPr>
            <w:r>
              <w:rPr>
                <w:rFonts w:ascii="Calibri" w:hAnsi="Calibri"/>
                <w:color w:val="0B2545"/>
                <w:sz w:val="19"/>
              </w:rPr>
              <w:t>Review; current foundation preserves access pending policy decision.</w:t>
            </w:r>
          </w:p>
        </w:tc>
      </w:tr>
    </w:tbl>
    <w:p>
      <w:pPr>
        <w:pStyle w:val="Heading2"/>
        <w:widowControl/>
      </w:pPr>
      <w:r>
        <w:t>Daily reconciliation</w:t>
      </w:r>
    </w:p>
    <w:p>
      <w:pPr>
        <w:spacing w:after="80" w:line="300" w:lineRule="auto"/>
        <w:ind w:left="540" w:hanging="271"/>
        <w:widowControl/>
        <w:numPr>
          <w:ilvl w:val="0"/>
          <w:numId w:val="13"/>
        </w:numPr>
      </w:pPr>
      <w:r>
        <w:t>Open Payment operations and scan recent checkouts for old pending records.</w:t>
      </w:r>
    </w:p>
    <w:p>
      <w:pPr>
        <w:spacing w:after="80" w:line="300" w:lineRule="auto"/>
        <w:ind w:left="540" w:hanging="271"/>
        <w:widowControl/>
        <w:numPr>
          <w:ilvl w:val="0"/>
          <w:numId w:val="13"/>
        </w:numPr>
      </w:pPr>
      <w:r>
        <w:t>Review verified provider events and their processing result.</w:t>
      </w:r>
    </w:p>
    <w:p>
      <w:pPr>
        <w:spacing w:after="80" w:line="300" w:lineRule="auto"/>
        <w:ind w:left="540" w:hanging="271"/>
        <w:widowControl/>
        <w:numPr>
          <w:ilvl w:val="0"/>
          <w:numId w:val="13"/>
        </w:numPr>
      </w:pPr>
      <w:r>
        <w:t>Use Process delayed test event only for deterministic fake-provider tests.</w:t>
      </w:r>
    </w:p>
    <w:p>
      <w:pPr>
        <w:spacing w:after="80" w:line="300" w:lineRule="auto"/>
        <w:ind w:left="540" w:hanging="271"/>
        <w:widowControl/>
        <w:numPr>
          <w:ilvl w:val="0"/>
          <w:numId w:val="13"/>
        </w:numPr>
      </w:pPr>
      <w:r>
        <w:t>For a succeeded payment, confirm the matching membership period or private admission.</w:t>
      </w:r>
    </w:p>
    <w:p>
      <w:pPr>
        <w:spacing w:after="80" w:line="300" w:lineRule="auto"/>
        <w:ind w:left="540" w:hanging="271"/>
        <w:widowControl/>
        <w:numPr>
          <w:ilvl w:val="0"/>
          <w:numId w:val="13"/>
        </w:numPr>
      </w:pPr>
      <w:r>
        <w:t>For a refund or reversal, confirm the payment-created access is expired or revoked.</w:t>
      </w:r>
    </w:p>
    <w:p>
      <w:pPr>
        <w:spacing w:after="80" w:line="300" w:lineRule="auto"/>
        <w:ind w:left="540" w:hanging="271"/>
        <w:widowControl/>
        <w:numPr>
          <w:ilvl w:val="0"/>
          <w:numId w:val="13"/>
        </w:numPr>
      </w:pPr>
      <w:r>
        <w:t>Record and escalate any mismatch; do not repair money state by directly editing the database.</w:t>
      </w:r>
    </w:p>
    <w:p>
      <w:pPr>
        <w:pStyle w:val="Heading2"/>
        <w:widowControl/>
      </w:pPr>
      <w:r>
        <w:t>Correlation and idempotency</w:t>
      </w:r>
    </w:p>
    <w:p>
      <w:pPr>
        <w:widowControl/>
      </w:pPr>
      <w:r>
        <w:t>Provider events may be duplicated, delayed or delivered out of order. Chisimba claims each verified provider event once and applies state precedence. Repeating the same event is expected to be safe and visible, not mysterious.</w:t>
      </w:r>
    </w:p>
    <w:p>
      <w:pPr>
        <w:widowControl/>
      </w:pPr>
      <w:r>
        <w:br w:type="page"/>
      </w:r>
    </w:p>
    <w:p>
      <w:pPr>
        <w:pStyle w:val="Heading1"/>
        <w:widowControl/>
      </w:pPr>
      <w:r>
        <w:t>6. Fake-provider testing</w:t>
      </w:r>
    </w:p>
    <w:p>
      <w:pPr>
        <w:pStyle w:val="GuideSuccess"/>
        <w:shd w:fill="E8F6EE"/>
        <w:widowControl/>
        <w:pBdr>
          <w:left w:val="single" w:sz="18" w:space="8" w:color="62A77B"/>
        </w:pBdr>
      </w:pPr>
      <w:r>
        <w:rPr>
          <w:b/>
        </w:rPr>
        <w:t xml:space="preserve">Safe by design  </w:t>
      </w:r>
      <w:r>
        <w:t>The fake provider cannot charge a card or move money. Keep it available for non-production diagnostics and automated tests, but never present it as a real customer payment method.</w:t>
      </w:r>
    </w:p>
    <w:p>
      <w:pPr>
        <w:pStyle w:val="Heading2"/>
        <w:widowControl/>
      </w:pPr>
      <w:r>
        <w:t>Recommended smoke-test matrix</w:t>
      </w:r>
    </w:p>
    <w:tbl>
      <w:tblPr>
        <w:tblStyle w:val="TableGrid"/>
        <w:tblW w:type="dxa" w:w="9360"/>
        <w:tblLayout w:type="fixed"/>
        <w:tblLook w:firstColumn="1" w:firstRow="1" w:lastColumn="0" w:lastRow="0" w:noHBand="0" w:noVBand="1" w:val="04A0"/>
        <w:jc w:val="left"/>
        <w:tblInd w:w="120" w:type="dxa"/>
      </w:tblPr>
      <w:tblGrid>
        <w:gridCol w:w="3400"/>
        <w:gridCol w:w="5960"/>
      </w:tblGrid>
      <w:tr>
        <w:trPr>
          <w:tblHeader w:val="true"/>
        </w:trPr>
        <w:tc>
          <w:tcPr>
            <w:tcW w:type="dxa" w:w="3400"/>
            <w:shd w:fill="E8F3FA"/>
            <w:tcMar>
              <w:top w:w="80" w:type="dxa"/>
              <w:start w:w="120" w:type="dxa"/>
              <w:bottom w:w="80" w:type="dxa"/>
              <w:end w:w="120" w:type="dxa"/>
            </w:tcMar>
            <w:vAlign w:val="center"/>
          </w:tcPr>
          <w:p>
            <w:pPr>
              <w:spacing w:after="40" w:line="264" w:lineRule="auto"/>
            </w:pPr>
            <w:r>
              <w:rPr>
                <w:rFonts w:ascii="Calibri" w:hAnsi="Calibri"/>
                <w:b/>
                <w:color w:val="0B2545"/>
                <w:sz w:val="19"/>
              </w:rPr>
              <w:t>Scenario</w:t>
            </w:r>
          </w:p>
        </w:tc>
        <w:tc>
          <w:tcPr>
            <w:tcW w:type="dxa" w:w="5960"/>
            <w:shd w:fill="E8F3FA"/>
            <w:tcMar>
              <w:top w:w="80" w:type="dxa"/>
              <w:start w:w="120" w:type="dxa"/>
              <w:bottom w:w="80" w:type="dxa"/>
              <w:end w:w="120" w:type="dxa"/>
            </w:tcMar>
            <w:vAlign w:val="center"/>
          </w:tcPr>
          <w:p>
            <w:pPr>
              <w:spacing w:after="40" w:line="264" w:lineRule="auto"/>
            </w:pPr>
            <w:r>
              <w:rPr>
                <w:rFonts w:ascii="Calibri" w:hAnsi="Calibri"/>
                <w:b/>
                <w:color w:val="0B2545"/>
                <w:sz w:val="19"/>
              </w:rPr>
              <w:t>Expected result</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Payment succeeds</w:t>
            </w:r>
          </w:p>
        </w:tc>
        <w:tc>
          <w:tcPr>
            <w:tcW w:type="dxa" w:w="5960"/>
            <w:tcMar>
              <w:top w:w="80" w:type="dxa"/>
              <w:start w:w="120" w:type="dxa"/>
              <w:bottom w:w="80" w:type="dxa"/>
              <w:end w:w="120" w:type="dxa"/>
            </w:tcMar>
            <w:vAlign w:val="center"/>
          </w:tcPr>
          <w:p>
            <w:pPr>
              <w:spacing w:after="40" w:line="264" w:lineRule="auto"/>
            </w:pPr>
            <w:r>
              <w:rPr>
                <w:rFonts w:ascii="Calibri" w:hAnsi="Calibri"/>
                <w:color w:val="0B2545"/>
                <w:sz w:val="19"/>
              </w:rPr>
              <w:t>Access is granted once.</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Card declined</w:t>
            </w:r>
          </w:p>
        </w:tc>
        <w:tc>
          <w:tcPr>
            <w:tcW w:type="dxa" w:w="5960"/>
            <w:tcMar>
              <w:top w:w="80" w:type="dxa"/>
              <w:start w:w="120" w:type="dxa"/>
              <w:bottom w:w="80" w:type="dxa"/>
              <w:end w:w="120" w:type="dxa"/>
            </w:tcMar>
            <w:vAlign w:val="center"/>
          </w:tcPr>
          <w:p>
            <w:pPr>
              <w:spacing w:after="40" w:line="264" w:lineRule="auto"/>
            </w:pPr>
            <w:r>
              <w:rPr>
                <w:rFonts w:ascii="Calibri" w:hAnsi="Calibri"/>
                <w:color w:val="0B2545"/>
                <w:sz w:val="19"/>
              </w:rPr>
              <w:t>No access; clear retry message.</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Insufficient funds</w:t>
            </w:r>
          </w:p>
        </w:tc>
        <w:tc>
          <w:tcPr>
            <w:tcW w:type="dxa" w:w="5960"/>
            <w:tcMar>
              <w:top w:w="80" w:type="dxa"/>
              <w:start w:w="120" w:type="dxa"/>
              <w:bottom w:w="80" w:type="dxa"/>
              <w:end w:w="120" w:type="dxa"/>
            </w:tcMar>
            <w:vAlign w:val="center"/>
          </w:tcPr>
          <w:p>
            <w:pPr>
              <w:spacing w:after="40" w:line="264" w:lineRule="auto"/>
            </w:pPr>
            <w:r>
              <w:rPr>
                <w:rFonts w:ascii="Calibri" w:hAnsi="Calibri"/>
                <w:color w:val="0B2545"/>
                <w:sz w:val="19"/>
              </w:rPr>
              <w:t>No access; reason retained.</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Expired card</w:t>
            </w:r>
          </w:p>
        </w:tc>
        <w:tc>
          <w:tcPr>
            <w:tcW w:type="dxa" w:w="5960"/>
            <w:tcMar>
              <w:top w:w="80" w:type="dxa"/>
              <w:start w:w="120" w:type="dxa"/>
              <w:bottom w:w="80" w:type="dxa"/>
              <w:end w:w="120" w:type="dxa"/>
            </w:tcMar>
            <w:vAlign w:val="center"/>
          </w:tcPr>
          <w:p>
            <w:pPr>
              <w:spacing w:after="40" w:line="264" w:lineRule="auto"/>
            </w:pPr>
            <w:r>
              <w:rPr>
                <w:rFonts w:ascii="Calibri" w:hAnsi="Calibri"/>
                <w:color w:val="0B2545"/>
                <w:sz w:val="19"/>
              </w:rPr>
              <w:t>No access; customer can retry.</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Checkout abandoned</w:t>
            </w:r>
          </w:p>
        </w:tc>
        <w:tc>
          <w:tcPr>
            <w:tcW w:type="dxa" w:w="5960"/>
            <w:tcMar>
              <w:top w:w="80" w:type="dxa"/>
              <w:start w:w="120" w:type="dxa"/>
              <w:bottom w:w="80" w:type="dxa"/>
              <w:end w:w="120" w:type="dxa"/>
            </w:tcMar>
            <w:vAlign w:val="center"/>
          </w:tcPr>
          <w:p>
            <w:pPr>
              <w:spacing w:after="40" w:line="264" w:lineRule="auto"/>
            </w:pPr>
            <w:r>
              <w:rPr>
                <w:rFonts w:ascii="Calibri" w:hAnsi="Calibri"/>
                <w:color w:val="0B2545"/>
                <w:sz w:val="19"/>
              </w:rPr>
              <w:t>No access.</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Delayed confirmation</w:t>
            </w:r>
          </w:p>
        </w:tc>
        <w:tc>
          <w:tcPr>
            <w:tcW w:type="dxa" w:w="5960"/>
            <w:tcMar>
              <w:top w:w="80" w:type="dxa"/>
              <w:start w:w="120" w:type="dxa"/>
              <w:bottom w:w="80" w:type="dxa"/>
              <w:end w:w="120" w:type="dxa"/>
            </w:tcMar>
            <w:vAlign w:val="center"/>
          </w:tcPr>
          <w:p>
            <w:pPr>
              <w:spacing w:after="40" w:line="264" w:lineRule="auto"/>
            </w:pPr>
            <w:r>
              <w:rPr>
                <w:rFonts w:ascii="Calibri" w:hAnsi="Calibri"/>
                <w:color w:val="0B2545"/>
                <w:sz w:val="19"/>
              </w:rPr>
              <w:t>Learner remains pending; administrator processes exactly one test event.</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Duplicate confirmation</w:t>
            </w:r>
          </w:p>
        </w:tc>
        <w:tc>
          <w:tcPr>
            <w:tcW w:type="dxa" w:w="5960"/>
            <w:tcMar>
              <w:top w:w="80" w:type="dxa"/>
              <w:start w:w="120" w:type="dxa"/>
              <w:bottom w:w="80" w:type="dxa"/>
              <w:end w:w="120" w:type="dxa"/>
            </w:tcMar>
            <w:vAlign w:val="center"/>
          </w:tcPr>
          <w:p>
            <w:pPr>
              <w:spacing w:after="40" w:line="264" w:lineRule="auto"/>
            </w:pPr>
            <w:r>
              <w:rPr>
                <w:rFonts w:ascii="Calibri" w:hAnsi="Calibri"/>
                <w:color w:val="0B2545"/>
                <w:sz w:val="19"/>
              </w:rPr>
              <w:t>One payment and one fulfilment only.</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Out-of-order events</w:t>
            </w:r>
          </w:p>
        </w:tc>
        <w:tc>
          <w:tcPr>
            <w:tcW w:type="dxa" w:w="5960"/>
            <w:tcMar>
              <w:top w:w="80" w:type="dxa"/>
              <w:start w:w="120" w:type="dxa"/>
              <w:bottom w:w="80" w:type="dxa"/>
              <w:end w:w="120" w:type="dxa"/>
            </w:tcMar>
            <w:vAlign w:val="center"/>
          </w:tcPr>
          <w:p>
            <w:pPr>
              <w:spacing w:after="40" w:line="264" w:lineRule="auto"/>
            </w:pPr>
            <w:r>
              <w:rPr>
                <w:rFonts w:ascii="Calibri" w:hAnsi="Calibri"/>
                <w:color w:val="0B2545"/>
                <w:sz w:val="19"/>
              </w:rPr>
              <w:t>Later lower-precedence success cannot undo a refund.</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Failure then recovery</w:t>
            </w:r>
          </w:p>
        </w:tc>
        <w:tc>
          <w:tcPr>
            <w:tcW w:type="dxa" w:w="5960"/>
            <w:tcMar>
              <w:top w:w="80" w:type="dxa"/>
              <w:start w:w="120" w:type="dxa"/>
              <w:bottom w:w="80" w:type="dxa"/>
              <w:end w:w="120" w:type="dxa"/>
            </w:tcMar>
            <w:vAlign w:val="center"/>
          </w:tcPr>
          <w:p>
            <w:pPr>
              <w:spacing w:after="40" w:line="264" w:lineRule="auto"/>
            </w:pPr>
            <w:r>
              <w:rPr>
                <w:rFonts w:ascii="Calibri" w:hAnsi="Calibri"/>
                <w:color w:val="0B2545"/>
                <w:sz w:val="19"/>
              </w:rPr>
              <w:t>A later verified success recovers correctly.</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Payment then refund</w:t>
            </w:r>
          </w:p>
        </w:tc>
        <w:tc>
          <w:tcPr>
            <w:tcW w:type="dxa" w:w="5960"/>
            <w:tcMar>
              <w:top w:w="80" w:type="dxa"/>
              <w:start w:w="120" w:type="dxa"/>
              <w:bottom w:w="80" w:type="dxa"/>
              <w:end w:w="120" w:type="dxa"/>
            </w:tcMar>
            <w:vAlign w:val="center"/>
          </w:tcPr>
          <w:p>
            <w:pPr>
              <w:spacing w:after="40" w:line="264" w:lineRule="auto"/>
            </w:pPr>
            <w:r>
              <w:rPr>
                <w:rFonts w:ascii="Calibri" w:hAnsi="Calibri"/>
                <w:color w:val="0B2545"/>
                <w:sz w:val="19"/>
              </w:rPr>
              <w:t>State becomes refunded and payment-created access ends.</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Payment then reversal</w:t>
            </w:r>
          </w:p>
        </w:tc>
        <w:tc>
          <w:tcPr>
            <w:tcW w:type="dxa" w:w="5960"/>
            <w:tcMar>
              <w:top w:w="80" w:type="dxa"/>
              <w:start w:w="120" w:type="dxa"/>
              <w:bottom w:w="80" w:type="dxa"/>
              <w:end w:w="120" w:type="dxa"/>
            </w:tcMar>
            <w:vAlign w:val="center"/>
          </w:tcPr>
          <w:p>
            <w:pPr>
              <w:spacing w:after="40" w:line="264" w:lineRule="auto"/>
            </w:pPr>
            <w:r>
              <w:rPr>
                <w:rFonts w:ascii="Calibri" w:hAnsi="Calibri"/>
                <w:color w:val="0B2545"/>
                <w:sz w:val="19"/>
              </w:rPr>
              <w:t>State becomes reversed and access ends.</w:t>
            </w:r>
          </w:p>
        </w:tc>
      </w:tr>
      <w:tr>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Payment then dispute</w:t>
            </w:r>
          </w:p>
        </w:tc>
        <w:tc>
          <w:tcPr>
            <w:tcW w:type="dxa" w:w="5960"/>
            <w:tcMar>
              <w:top w:w="80" w:type="dxa"/>
              <w:start w:w="120" w:type="dxa"/>
              <w:bottom w:w="80" w:type="dxa"/>
              <w:end w:w="120" w:type="dxa"/>
            </w:tcMar>
            <w:vAlign w:val="center"/>
          </w:tcPr>
          <w:p>
            <w:pPr>
              <w:spacing w:after="40" w:line="264" w:lineRule="auto"/>
            </w:pPr>
            <w:r>
              <w:rPr>
                <w:rFonts w:ascii="Calibri" w:hAnsi="Calibri"/>
                <w:color w:val="0B2545"/>
                <w:sz w:val="19"/>
              </w:rPr>
              <w:t>State becomes disputed and remains visible for review.</w:t>
            </w:r>
          </w:p>
        </w:tc>
      </w:tr>
    </w:tbl>
    <w:p>
      <w:pPr>
        <w:widowControl/>
      </w:pPr>
      <w:r>
        <w:br w:type="page"/>
      </w:r>
    </w:p>
    <w:p>
      <w:pPr>
        <w:pStyle w:val="Heading2"/>
        <w:widowControl/>
      </w:pPr>
      <w:r>
        <w:t>Run a browser smoke test</w:t>
      </w:r>
    </w:p>
    <w:p>
      <w:pPr>
        <w:spacing w:after="80" w:line="300" w:lineRule="auto"/>
        <w:ind w:left="540" w:hanging="271"/>
        <w:widowControl/>
        <w:numPr>
          <w:ilvl w:val="0"/>
          <w:numId w:val="14"/>
        </w:numPr>
      </w:pPr>
      <w:r>
        <w:t>Use a dedicated test learner and a clearly named TEST product priced at the smallest safe amount.</w:t>
      </w:r>
    </w:p>
    <w:p>
      <w:pPr>
        <w:spacing w:after="80" w:line="300" w:lineRule="auto"/>
        <w:ind w:left="540" w:hanging="271"/>
        <w:widowControl/>
        <w:numPr>
          <w:ilvl w:val="0"/>
          <w:numId w:val="14"/>
        </w:numPr>
      </w:pPr>
      <w:r>
        <w:t>Begin from the learner catalogue, not from an administrator-only URL.</w:t>
      </w:r>
    </w:p>
    <w:p>
      <w:pPr>
        <w:spacing w:after="80" w:line="300" w:lineRule="auto"/>
        <w:ind w:left="540" w:hanging="271"/>
        <w:widowControl/>
        <w:numPr>
          <w:ilvl w:val="0"/>
          <w:numId w:val="14"/>
        </w:numPr>
      </w:pPr>
      <w:r>
        <w:t>Choose one fake outcome and complete the return journey.</w:t>
      </w:r>
    </w:p>
    <w:p>
      <w:pPr>
        <w:spacing w:after="80" w:line="300" w:lineRule="auto"/>
        <w:ind w:left="540" w:hanging="271"/>
        <w:widowControl/>
        <w:numPr>
          <w:ilvl w:val="0"/>
          <w:numId w:val="14"/>
        </w:numPr>
      </w:pPr>
      <w:r>
        <w:t>Check the learner-facing result.</w:t>
      </w:r>
    </w:p>
    <w:p>
      <w:pPr>
        <w:spacing w:after="80" w:line="300" w:lineRule="auto"/>
        <w:ind w:left="540" w:hanging="271"/>
        <w:widowControl/>
        <w:numPr>
          <w:ilvl w:val="0"/>
          <w:numId w:val="14"/>
        </w:numPr>
      </w:pPr>
      <w:r>
        <w:t>Check Payment operations, verified events and fulfilment.</w:t>
      </w:r>
    </w:p>
    <w:p>
      <w:pPr>
        <w:spacing w:after="80" w:line="300" w:lineRule="auto"/>
        <w:ind w:left="540" w:hanging="271"/>
        <w:widowControl/>
        <w:numPr>
          <w:ilvl w:val="0"/>
          <w:numId w:val="14"/>
        </w:numPr>
      </w:pPr>
      <w:r>
        <w:t>For private access, attempt course entry before and after the event.</w:t>
      </w:r>
    </w:p>
    <w:p>
      <w:pPr>
        <w:spacing w:after="80" w:line="300" w:lineRule="auto"/>
        <w:ind w:left="540" w:hanging="271"/>
        <w:widowControl/>
        <w:numPr>
          <w:ilvl w:val="0"/>
          <w:numId w:val="14"/>
        </w:numPr>
      </w:pPr>
      <w:r>
        <w:t>Record the result and remove or expire temporary access when finished.</w:t>
      </w:r>
    </w:p>
    <w:p>
      <w:pPr>
        <w:widowControl/>
      </w:pPr>
      <w:r>
        <w:br w:type="page"/>
      </w:r>
    </w:p>
    <w:p>
      <w:pPr>
        <w:pStyle w:val="Heading1"/>
        <w:widowControl/>
      </w:pPr>
      <w:r>
        <w:t>7. Refunds, reversals and disputes</w:t>
      </w:r>
    </w:p>
    <w:p>
      <w:pPr>
        <w:pStyle w:val="Heading2"/>
        <w:widowControl/>
      </w:pPr>
      <w:r>
        <w:t>Current access policy</w:t>
      </w:r>
    </w:p>
    <w:p>
      <w:pPr>
        <w:pStyle w:val="ListBullet"/>
        <w:widowControl/>
      </w:pPr>
      <w:r>
        <w:t>Verified refunds end the membership period or private admission created by that payment.</w:t>
      </w:r>
    </w:p>
    <w:p>
      <w:pPr>
        <w:pStyle w:val="ListBullet"/>
        <w:widowControl/>
      </w:pPr>
      <w:r>
        <w:t>Verified reversals do the same.</w:t>
      </w:r>
    </w:p>
    <w:p>
      <w:pPr>
        <w:pStyle w:val="ListBullet"/>
        <w:widowControl/>
      </w:pPr>
      <w:r>
        <w:t>A dispute is recorded and visible, but does not automatically remove access in the current foundation.</w:t>
      </w:r>
    </w:p>
    <w:p>
      <w:pPr>
        <w:pStyle w:val="ListBullet"/>
        <w:widowControl/>
      </w:pPr>
      <w:r>
        <w:t>Manual grants are not withdrawn by an unrelated payment event.</w:t>
      </w:r>
    </w:p>
    <w:p>
      <w:pPr>
        <w:pStyle w:val="Heading2"/>
        <w:widowControl/>
      </w:pPr>
      <w:r>
        <w:t>Operator procedure</w:t>
      </w:r>
    </w:p>
    <w:p>
      <w:pPr>
        <w:spacing w:after="80" w:line="300" w:lineRule="auto"/>
        <w:ind w:left="540" w:hanging="271"/>
        <w:widowControl/>
        <w:numPr>
          <w:ilvl w:val="0"/>
          <w:numId w:val="15"/>
        </w:numPr>
      </w:pPr>
      <w:r>
        <w:t>Confirm the provider event is verified and belongs to the expected payment.</w:t>
      </w:r>
    </w:p>
    <w:p>
      <w:pPr>
        <w:spacing w:after="80" w:line="300" w:lineRule="auto"/>
        <w:ind w:left="540" w:hanging="271"/>
        <w:widowControl/>
        <w:numPr>
          <w:ilvl w:val="0"/>
          <w:numId w:val="15"/>
        </w:numPr>
      </w:pPr>
      <w:r>
        <w:t>Check the payment state and provider reference.</w:t>
      </w:r>
    </w:p>
    <w:p>
      <w:pPr>
        <w:spacing w:after="80" w:line="300" w:lineRule="auto"/>
        <w:ind w:left="540" w:hanging="271"/>
        <w:widowControl/>
        <w:numPr>
          <w:ilvl w:val="0"/>
          <w:numId w:val="15"/>
        </w:numPr>
      </w:pPr>
      <w:r>
        <w:t>Check that only the fulfilment created by that payment changed.</w:t>
      </w:r>
    </w:p>
    <w:p>
      <w:pPr>
        <w:spacing w:after="80" w:line="300" w:lineRule="auto"/>
        <w:ind w:left="540" w:hanging="271"/>
        <w:widowControl/>
        <w:numPr>
          <w:ilvl w:val="0"/>
          <w:numId w:val="15"/>
        </w:numPr>
      </w:pPr>
      <w:r>
        <w:t>Contact the learner using the organisation’s approved communications process.</w:t>
      </w:r>
    </w:p>
    <w:p>
      <w:pPr>
        <w:spacing w:after="80" w:line="300" w:lineRule="auto"/>
        <w:ind w:left="540" w:hanging="271"/>
        <w:widowControl/>
        <w:numPr>
          <w:ilvl w:val="0"/>
          <w:numId w:val="15"/>
        </w:numPr>
      </w:pPr>
      <w:r>
        <w:t>For disputes, follow finance and legal policy before manually changing access.</w:t>
      </w:r>
    </w:p>
    <w:p>
      <w:pPr>
        <w:spacing w:after="80" w:line="300" w:lineRule="auto"/>
        <w:ind w:left="540" w:hanging="271"/>
        <w:widowControl/>
        <w:numPr>
          <w:ilvl w:val="0"/>
          <w:numId w:val="15"/>
        </w:numPr>
      </w:pPr>
      <w:r>
        <w:t>Retain the complete audit history.</w:t>
      </w:r>
    </w:p>
    <w:p>
      <w:pPr>
        <w:pStyle w:val="GuideWarning"/>
        <w:shd w:fill="FFF4D6"/>
        <w:widowControl/>
        <w:pBdr>
          <w:left w:val="single" w:sz="18" w:space="8" w:color="D3A52A"/>
        </w:pBdr>
      </w:pPr>
      <w:r>
        <w:rPr>
          <w:b/>
        </w:rPr>
        <w:t xml:space="preserve">Policy decision still required  </w:t>
      </w:r>
      <w:r>
        <w:t>Before live charging, document whether disputed access continues, is placed in grace or is suspended after human review. The current implementation deliberately avoids making that commercial/legal decision automatically.</w:t>
      </w:r>
    </w:p>
    <w:p>
      <w:pPr>
        <w:widowControl/>
      </w:pPr>
      <w:r>
        <w:br w:type="page"/>
      </w:r>
    </w:p>
    <w:p>
      <w:pPr>
        <w:pStyle w:val="Heading1"/>
        <w:widowControl/>
      </w:pPr>
      <w:r>
        <w:t>8. Learner support</w:t>
      </w:r>
    </w:p>
    <w:p>
      <w:pPr>
        <w:pStyle w:val="Heading2"/>
        <w:widowControl/>
      </w:pPr>
      <w:r>
        <w:t>Support from the learner’s point of view</w:t>
      </w:r>
    </w:p>
    <w:p>
      <w:pPr>
        <w:pStyle w:val="ListBullet"/>
        <w:widowControl/>
      </w:pPr>
      <w:r>
        <w:t>They should see what they are buying, the amount, currency and access outcome before leaving Chisimba.</w:t>
      </w:r>
    </w:p>
    <w:p>
      <w:pPr>
        <w:pStyle w:val="ListBullet"/>
        <w:widowControl/>
      </w:pPr>
      <w:r>
        <w:t>Pending means pending. Do not tell a learner payment succeeded until a verified provider event says so.</w:t>
      </w:r>
    </w:p>
    <w:p>
      <w:pPr>
        <w:pStyle w:val="ListBullet"/>
        <w:widowControl/>
      </w:pPr>
      <w:r>
        <w:t>Failure messages should explain what can be tried next without exposing provider internals.</w:t>
      </w:r>
    </w:p>
    <w:p>
      <w:pPr>
        <w:pStyle w:val="ListBullet"/>
        <w:widowControl/>
      </w:pPr>
      <w:r>
        <w:t>A learner who already has lifetime private-course access should not see that product for purchase again.</w:t>
      </w:r>
    </w:p>
    <w:p>
      <w:pPr>
        <w:pStyle w:val="Heading2"/>
        <w:widowControl/>
      </w:pPr>
      <w:r>
        <w:t>First-response checklist</w:t>
      </w:r>
    </w:p>
    <w:p>
      <w:pPr>
        <w:pStyle w:val="ListBullet"/>
        <w:widowControl/>
      </w:pPr>
      <w:r>
        <w:t>Confirm the signed-in username and product name.</w:t>
      </w:r>
    </w:p>
    <w:p>
      <w:pPr>
        <w:pStyle w:val="ListBullet"/>
        <w:widowControl/>
      </w:pPr>
      <w:r>
        <w:t>Ask for the approximate checkout time, not full card details.</w:t>
      </w:r>
    </w:p>
    <w:p>
      <w:pPr>
        <w:pStyle w:val="ListBullet"/>
        <w:widowControl/>
      </w:pPr>
      <w:r>
        <w:t>Locate the intent in Payment operations.</w:t>
      </w:r>
    </w:p>
    <w:p>
      <w:pPr>
        <w:pStyle w:val="ListBullet"/>
        <w:widowControl/>
      </w:pPr>
      <w:r>
        <w:t>Match the verified event and provider reference.</w:t>
      </w:r>
    </w:p>
    <w:p>
      <w:pPr>
        <w:pStyle w:val="ListBullet"/>
        <w:widowControl/>
      </w:pPr>
      <w:r>
        <w:t>Check the resulting membership or course admission.</w:t>
      </w:r>
    </w:p>
    <w:p>
      <w:pPr>
        <w:pStyle w:val="ListBullet"/>
        <w:widowControl/>
      </w:pPr>
      <w:r>
        <w:t>Give the learner a clear next action: wait, retry, enter the course or contact finance.</w:t>
      </w:r>
    </w:p>
    <w:p>
      <w:pPr>
        <w:pStyle w:val="ListBullet"/>
        <w:widowControl/>
      </w:pPr>
      <w:r>
        <w:t>Escalate with the correlation reference if state and access do not match.</w:t>
      </w:r>
    </w:p>
    <w:p>
      <w:pPr>
        <w:pStyle w:val="Heading2"/>
        <w:widowControl/>
      </w:pPr>
      <w:r>
        <w:t>Never request</w:t>
      </w:r>
    </w:p>
    <w:p>
      <w:pPr>
        <w:pStyle w:val="ListBullet"/>
        <w:widowControl/>
      </w:pPr>
      <w:r>
        <w:t>Full card number, CVV, online-banking password or one-time PIN.</w:t>
      </w:r>
    </w:p>
    <w:p>
      <w:pPr>
        <w:pStyle w:val="ListBullet"/>
        <w:widowControl/>
      </w:pPr>
      <w:r>
        <w:t>Screenshots containing secrets or complete financial credentials.</w:t>
      </w:r>
    </w:p>
    <w:p>
      <w:pPr>
        <w:pStyle w:val="ListBullet"/>
        <w:widowControl/>
      </w:pPr>
      <w:r>
        <w:t>A second payment merely because an event is delayed.</w:t>
      </w:r>
    </w:p>
    <w:p>
      <w:pPr>
        <w:widowControl/>
      </w:pPr>
      <w:r>
        <w:br w:type="page"/>
      </w:r>
    </w:p>
    <w:p>
      <w:pPr>
        <w:pStyle w:val="Heading1"/>
        <w:widowControl/>
      </w:pPr>
      <w:r>
        <w:t>9. Workers, notices and operational cadence</w:t>
      </w:r>
    </w:p>
    <w:p>
      <w:pPr>
        <w:pStyle w:val="GuideNote"/>
        <w:shd w:fill="E8F3FA"/>
        <w:widowControl/>
        <w:pBdr>
          <w:left w:val="single" w:sz="18" w:space="8" w:color="8ABBDD"/>
        </w:pBdr>
      </w:pPr>
      <w:r>
        <w:rPr>
          <w:b/>
        </w:rPr>
        <w:t xml:space="preserve">Next implementation slice  </w:t>
      </w:r>
      <w:r>
        <w:t>The worker and notification interface is not yet complete. This section defines the operating contract so implementation and deployment use one consistent approach.</w:t>
      </w:r>
    </w:p>
    <w:p>
      <w:pPr>
        <w:pStyle w:val="Heading2"/>
        <w:widowControl/>
      </w:pPr>
      <w:r>
        <w:t>Required notices</w:t>
      </w:r>
    </w:p>
    <w:p>
      <w:pPr>
        <w:pStyle w:val="ListBullet"/>
        <w:widowControl/>
      </w:pPr>
      <w:r>
        <w:t>Annual auto-renewal: one month and one week before the expected charge.</w:t>
      </w:r>
    </w:p>
    <w:p>
      <w:pPr>
        <w:pStyle w:val="ListBullet"/>
        <w:widowControl/>
      </w:pPr>
      <w:r>
        <w:t>Annual non-renewing access: one month and one week before expiry.</w:t>
      </w:r>
    </w:p>
    <w:p>
      <w:pPr>
        <w:pStyle w:val="ListBullet"/>
        <w:widowControl/>
      </w:pPr>
      <w:r>
        <w:t>Monthly membership: use a separately agreed policy; “one month before” coincides with the preceding renewal.</w:t>
      </w:r>
    </w:p>
    <w:p>
      <w:pPr>
        <w:pStyle w:val="ListBullet"/>
        <w:widowControl/>
      </w:pPr>
      <w:r>
        <w:t>Failed payment: notify promptly, explain grace and recovery, and suppress duplicate messages.</w:t>
      </w:r>
    </w:p>
    <w:p>
      <w:pPr>
        <w:pStyle w:val="ListBullet"/>
        <w:widowControl/>
      </w:pPr>
      <w:r>
        <w:t>Cancellation: immediately confirm the final access date.</w:t>
      </w:r>
    </w:p>
    <w:p>
      <w:pPr>
        <w:pStyle w:val="Heading2"/>
        <w:widowControl/>
      </w:pPr>
      <w:r>
        <w:t>Worker requirements</w:t>
      </w:r>
    </w:p>
    <w:p>
      <w:pPr>
        <w:pStyle w:val="ListBullet"/>
        <w:widowControl/>
      </w:pPr>
      <w:r>
        <w:t>Installable through systemd or cron with one documented command.</w:t>
      </w:r>
    </w:p>
    <w:p>
      <w:pPr>
        <w:pStyle w:val="ListBullet"/>
        <w:widowControl/>
      </w:pPr>
      <w:r>
        <w:t>Atomic job claiming, retry with backoff and duplicate suppression.</w:t>
      </w:r>
    </w:p>
    <w:p>
      <w:pPr>
        <w:pStyle w:val="ListBullet"/>
        <w:widowControl/>
      </w:pPr>
      <w:r>
        <w:t>All dates interpreted through timeanddate-service and the configured site timezone.</w:t>
      </w:r>
    </w:p>
    <w:p>
      <w:pPr>
        <w:pStyle w:val="ListBullet"/>
        <w:widowControl/>
      </w:pPr>
      <w:r>
        <w:t>Visible last success, last failure, backlog and next due run.</w:t>
      </w:r>
    </w:p>
    <w:p>
      <w:pPr>
        <w:pStyle w:val="ListBullet"/>
        <w:widowControl/>
      </w:pPr>
      <w:r>
        <w:t>Safe re-running after a crash or deployment.</w:t>
      </w:r>
    </w:p>
    <w:p>
      <w:pPr>
        <w:pStyle w:val="Heading2"/>
        <w:widowControl/>
      </w:pPr>
      <w:r>
        <w:t>Suggested operating cadence</w:t>
      </w:r>
    </w:p>
    <w:tbl>
      <w:tblPr>
        <w:tblStyle w:val="TableGrid"/>
        <w:tblW w:type="dxa" w:w="9360"/>
        <w:tblLayout w:type="fixed"/>
        <w:tblLook w:firstColumn="1" w:firstRow="1" w:lastColumn="0" w:lastRow="0" w:noHBand="0" w:noVBand="1" w:val="04A0"/>
        <w:jc w:val="left"/>
        <w:tblInd w:w="120" w:type="dxa"/>
      </w:tblPr>
      <w:tblGrid>
        <w:gridCol w:w="1700"/>
        <w:gridCol w:w="4050"/>
        <w:gridCol w:w="3610"/>
      </w:tblGrid>
      <w:tr>
        <w:trPr>
          <w:tblHeader w:val="true"/>
        </w:trPr>
        <w:tc>
          <w:tcPr>
            <w:tcW w:type="dxa" w:w="1700"/>
            <w:shd w:fill="E8F3FA"/>
            <w:tcMar>
              <w:top w:w="80" w:type="dxa"/>
              <w:start w:w="120" w:type="dxa"/>
              <w:bottom w:w="80" w:type="dxa"/>
              <w:end w:w="120" w:type="dxa"/>
            </w:tcMar>
            <w:vAlign w:val="center"/>
          </w:tcPr>
          <w:p>
            <w:pPr>
              <w:spacing w:after="40" w:line="264" w:lineRule="auto"/>
            </w:pPr>
            <w:r>
              <w:rPr>
                <w:rFonts w:ascii="Calibri" w:hAnsi="Calibri"/>
                <w:b/>
                <w:color w:val="0B2545"/>
                <w:sz w:val="19"/>
              </w:rPr>
              <w:t>Frequency</w:t>
            </w:r>
          </w:p>
        </w:tc>
        <w:tc>
          <w:tcPr>
            <w:tcW w:type="dxa" w:w="4050"/>
            <w:shd w:fill="E8F3FA"/>
            <w:tcMar>
              <w:top w:w="80" w:type="dxa"/>
              <w:start w:w="120" w:type="dxa"/>
              <w:bottom w:w="80" w:type="dxa"/>
              <w:end w:w="120" w:type="dxa"/>
            </w:tcMar>
            <w:vAlign w:val="center"/>
          </w:tcPr>
          <w:p>
            <w:pPr>
              <w:spacing w:after="40" w:line="264" w:lineRule="auto"/>
            </w:pPr>
            <w:r>
              <w:rPr>
                <w:rFonts w:ascii="Calibri" w:hAnsi="Calibri"/>
                <w:b/>
                <w:color w:val="0B2545"/>
                <w:sz w:val="19"/>
              </w:rPr>
              <w:t>Check</w:t>
            </w:r>
          </w:p>
        </w:tc>
        <w:tc>
          <w:tcPr>
            <w:tcW w:type="dxa" w:w="3610"/>
            <w:shd w:fill="E8F3FA"/>
            <w:tcMar>
              <w:top w:w="80" w:type="dxa"/>
              <w:start w:w="120" w:type="dxa"/>
              <w:bottom w:w="80" w:type="dxa"/>
              <w:end w:w="120" w:type="dxa"/>
            </w:tcMar>
            <w:vAlign w:val="center"/>
          </w:tcPr>
          <w:p>
            <w:pPr>
              <w:spacing w:after="40" w:line="264" w:lineRule="auto"/>
            </w:pPr>
            <w:r>
              <w:rPr>
                <w:rFonts w:ascii="Calibri" w:hAnsi="Calibri"/>
                <w:b/>
                <w:color w:val="0B2545"/>
                <w:sz w:val="19"/>
              </w:rPr>
              <w:t>Action threshold</w:t>
            </w:r>
          </w:p>
        </w:tc>
      </w:tr>
      <w:tr>
        <w:tc>
          <w:tcPr>
            <w:tcW w:type="dxa" w:w="1700"/>
            <w:tcMar>
              <w:top w:w="80" w:type="dxa"/>
              <w:start w:w="120" w:type="dxa"/>
              <w:bottom w:w="80" w:type="dxa"/>
              <w:end w:w="120" w:type="dxa"/>
            </w:tcMar>
            <w:vAlign w:val="center"/>
          </w:tcPr>
          <w:p>
            <w:pPr>
              <w:spacing w:after="40" w:line="264" w:lineRule="auto"/>
            </w:pPr>
            <w:r>
              <w:rPr>
                <w:rFonts w:ascii="Calibri" w:hAnsi="Calibri"/>
                <w:color w:val="0B2545"/>
                <w:sz w:val="19"/>
              </w:rPr>
              <w:t>Daily</w:t>
            </w:r>
          </w:p>
        </w:tc>
        <w:tc>
          <w:tcPr>
            <w:tcW w:type="dxa" w:w="4050"/>
            <w:tcMar>
              <w:top w:w="80" w:type="dxa"/>
              <w:start w:w="120" w:type="dxa"/>
              <w:bottom w:w="80" w:type="dxa"/>
              <w:end w:w="120" w:type="dxa"/>
            </w:tcMar>
            <w:vAlign w:val="center"/>
          </w:tcPr>
          <w:p>
            <w:pPr>
              <w:spacing w:after="40" w:line="264" w:lineRule="auto"/>
            </w:pPr>
            <w:r>
              <w:rPr>
                <w:rFonts w:ascii="Calibri" w:hAnsi="Calibri"/>
                <w:color w:val="0B2545"/>
                <w:sz w:val="19"/>
              </w:rPr>
              <w:t>Worker health, old pending payments, failed fulfilment</w:t>
            </w:r>
          </w:p>
        </w:tc>
        <w:tc>
          <w:tcPr>
            <w:tcW w:type="dxa" w:w="3610"/>
            <w:tcMar>
              <w:top w:w="80" w:type="dxa"/>
              <w:start w:w="120" w:type="dxa"/>
              <w:bottom w:w="80" w:type="dxa"/>
              <w:end w:w="120" w:type="dxa"/>
            </w:tcMar>
            <w:vAlign w:val="center"/>
          </w:tcPr>
          <w:p>
            <w:pPr>
              <w:spacing w:after="40" w:line="264" w:lineRule="auto"/>
            </w:pPr>
            <w:r>
              <w:rPr>
                <w:rFonts w:ascii="Calibri" w:hAnsi="Calibri"/>
                <w:color w:val="0B2545"/>
                <w:sz w:val="19"/>
              </w:rPr>
              <w:t>Investigate anything outside the documented retry window.</w:t>
            </w:r>
          </w:p>
        </w:tc>
      </w:tr>
      <w:tr>
        <w:tc>
          <w:tcPr>
            <w:tcW w:type="dxa" w:w="1700"/>
            <w:tcMar>
              <w:top w:w="80" w:type="dxa"/>
              <w:start w:w="120" w:type="dxa"/>
              <w:bottom w:w="80" w:type="dxa"/>
              <w:end w:w="120" w:type="dxa"/>
            </w:tcMar>
            <w:vAlign w:val="center"/>
          </w:tcPr>
          <w:p>
            <w:pPr>
              <w:spacing w:after="40" w:line="264" w:lineRule="auto"/>
            </w:pPr>
            <w:r>
              <w:rPr>
                <w:rFonts w:ascii="Calibri" w:hAnsi="Calibri"/>
                <w:color w:val="0B2545"/>
                <w:sz w:val="19"/>
              </w:rPr>
              <w:t>Weekly</w:t>
            </w:r>
          </w:p>
        </w:tc>
        <w:tc>
          <w:tcPr>
            <w:tcW w:type="dxa" w:w="4050"/>
            <w:tcMar>
              <w:top w:w="80" w:type="dxa"/>
              <w:start w:w="120" w:type="dxa"/>
              <w:bottom w:w="80" w:type="dxa"/>
              <w:end w:w="120" w:type="dxa"/>
            </w:tcMar>
            <w:vAlign w:val="center"/>
          </w:tcPr>
          <w:p>
            <w:pPr>
              <w:spacing w:after="40" w:line="264" w:lineRule="auto"/>
            </w:pPr>
            <w:r>
              <w:rPr>
                <w:rFonts w:ascii="Calibri" w:hAnsi="Calibri"/>
                <w:color w:val="0B2545"/>
                <w:sz w:val="19"/>
              </w:rPr>
              <w:t>Upcoming expiries, grace periods, disputes</w:t>
            </w:r>
          </w:p>
        </w:tc>
        <w:tc>
          <w:tcPr>
            <w:tcW w:type="dxa" w:w="3610"/>
            <w:tcMar>
              <w:top w:w="80" w:type="dxa"/>
              <w:start w:w="120" w:type="dxa"/>
              <w:bottom w:w="80" w:type="dxa"/>
              <w:end w:w="120" w:type="dxa"/>
            </w:tcMar>
            <w:vAlign w:val="center"/>
          </w:tcPr>
          <w:p>
            <w:pPr>
              <w:spacing w:after="40" w:line="264" w:lineRule="auto"/>
            </w:pPr>
            <w:r>
              <w:rPr>
                <w:rFonts w:ascii="Calibri" w:hAnsi="Calibri"/>
                <w:color w:val="0B2545"/>
                <w:sz w:val="19"/>
              </w:rPr>
              <w:t>Assign an owner and learner communication.</w:t>
            </w:r>
          </w:p>
        </w:tc>
      </w:tr>
      <w:tr>
        <w:tc>
          <w:tcPr>
            <w:tcW w:type="dxa" w:w="1700"/>
            <w:tcMar>
              <w:top w:w="80" w:type="dxa"/>
              <w:start w:w="120" w:type="dxa"/>
              <w:bottom w:w="80" w:type="dxa"/>
              <w:end w:w="120" w:type="dxa"/>
            </w:tcMar>
            <w:vAlign w:val="center"/>
          </w:tcPr>
          <w:p>
            <w:pPr>
              <w:spacing w:after="40" w:line="264" w:lineRule="auto"/>
            </w:pPr>
            <w:r>
              <w:rPr>
                <w:rFonts w:ascii="Calibri" w:hAnsi="Calibri"/>
                <w:color w:val="0B2545"/>
                <w:sz w:val="19"/>
              </w:rPr>
              <w:t>Monthly</w:t>
            </w:r>
          </w:p>
        </w:tc>
        <w:tc>
          <w:tcPr>
            <w:tcW w:type="dxa" w:w="4050"/>
            <w:tcMar>
              <w:top w:w="80" w:type="dxa"/>
              <w:start w:w="120" w:type="dxa"/>
              <w:bottom w:w="80" w:type="dxa"/>
              <w:end w:w="120" w:type="dxa"/>
            </w:tcMar>
            <w:vAlign w:val="center"/>
          </w:tcPr>
          <w:p>
            <w:pPr>
              <w:spacing w:after="40" w:line="264" w:lineRule="auto"/>
            </w:pPr>
            <w:r>
              <w:rPr>
                <w:rFonts w:ascii="Calibri" w:hAnsi="Calibri"/>
                <w:color w:val="0B2545"/>
                <w:sz w:val="19"/>
              </w:rPr>
              <w:t>Product catalogue, prices, provider health, access drift</w:t>
            </w:r>
          </w:p>
        </w:tc>
        <w:tc>
          <w:tcPr>
            <w:tcW w:type="dxa" w:w="3610"/>
            <w:tcMar>
              <w:top w:w="80" w:type="dxa"/>
              <w:start w:w="120" w:type="dxa"/>
              <w:bottom w:w="80" w:type="dxa"/>
              <w:end w:w="120" w:type="dxa"/>
            </w:tcMar>
            <w:vAlign w:val="center"/>
          </w:tcPr>
          <w:p>
            <w:pPr>
              <w:spacing w:after="40" w:line="264" w:lineRule="auto"/>
            </w:pPr>
            <w:r>
              <w:rPr>
                <w:rFonts w:ascii="Calibri" w:hAnsi="Calibri"/>
                <w:color w:val="0B2545"/>
                <w:sz w:val="19"/>
              </w:rPr>
              <w:t>Retire stale prices and resolve unexplained drift.</w:t>
            </w:r>
          </w:p>
        </w:tc>
      </w:tr>
      <w:tr>
        <w:tc>
          <w:tcPr>
            <w:tcW w:type="dxa" w:w="1700"/>
            <w:tcMar>
              <w:top w:w="80" w:type="dxa"/>
              <w:start w:w="120" w:type="dxa"/>
              <w:bottom w:w="80" w:type="dxa"/>
              <w:end w:w="120" w:type="dxa"/>
            </w:tcMar>
            <w:vAlign w:val="center"/>
          </w:tcPr>
          <w:p>
            <w:pPr>
              <w:spacing w:after="40" w:line="264" w:lineRule="auto"/>
            </w:pPr>
            <w:r>
              <w:rPr>
                <w:rFonts w:ascii="Calibri" w:hAnsi="Calibri"/>
                <w:color w:val="0B2545"/>
                <w:sz w:val="19"/>
              </w:rPr>
              <w:t>Before release</w:t>
            </w:r>
          </w:p>
        </w:tc>
        <w:tc>
          <w:tcPr>
            <w:tcW w:type="dxa" w:w="4050"/>
            <w:tcMar>
              <w:top w:w="80" w:type="dxa"/>
              <w:start w:w="120" w:type="dxa"/>
              <w:bottom w:w="80" w:type="dxa"/>
              <w:end w:w="120" w:type="dxa"/>
            </w:tcMar>
            <w:vAlign w:val="center"/>
          </w:tcPr>
          <w:p>
            <w:pPr>
              <w:spacing w:after="40" w:line="264" w:lineRule="auto"/>
            </w:pPr>
            <w:r>
              <w:rPr>
                <w:rFonts w:ascii="Calibri" w:hAnsi="Calibri"/>
                <w:color w:val="0B2545"/>
                <w:sz w:val="19"/>
              </w:rPr>
              <w:t>Sandbox smoke matrix and module updates</w:t>
            </w:r>
          </w:p>
        </w:tc>
        <w:tc>
          <w:tcPr>
            <w:tcW w:type="dxa" w:w="3610"/>
            <w:tcMar>
              <w:top w:w="80" w:type="dxa"/>
              <w:start w:w="120" w:type="dxa"/>
              <w:bottom w:w="80" w:type="dxa"/>
              <w:end w:w="120" w:type="dxa"/>
            </w:tcMar>
            <w:vAlign w:val="center"/>
          </w:tcPr>
          <w:p>
            <w:pPr>
              <w:spacing w:after="40" w:line="264" w:lineRule="auto"/>
            </w:pPr>
            <w:r>
              <w:rPr>
                <w:rFonts w:ascii="Calibri" w:hAnsi="Calibri"/>
                <w:color w:val="0B2545"/>
                <w:sz w:val="19"/>
              </w:rPr>
              <w:t>Do not enable live credentials until all checks pass.</w:t>
            </w:r>
          </w:p>
        </w:tc>
      </w:tr>
    </w:tbl>
    <w:p>
      <w:pPr>
        <w:widowControl/>
      </w:pPr>
      <w:r>
        <w:br w:type="page"/>
      </w:r>
    </w:p>
    <w:p>
      <w:pPr>
        <w:pStyle w:val="Heading1"/>
        <w:widowControl/>
      </w:pPr>
      <w:r>
        <w:t>10. Security and data handling</w:t>
      </w:r>
    </w:p>
    <w:p>
      <w:pPr>
        <w:pStyle w:val="ListBullet"/>
        <w:widowControl/>
      </w:pPr>
      <w:r>
        <w:t>Store provider identifiers and normalized events, never raw card details or CVV.</w:t>
      </w:r>
    </w:p>
    <w:p>
      <w:pPr>
        <w:pStyle w:val="ListBullet"/>
        <w:widowControl/>
      </w:pPr>
      <w:r>
        <w:t>Keep sandbox and live credentials separate; mask secrets in interfaces and logs.</w:t>
      </w:r>
    </w:p>
    <w:p>
      <w:pPr>
        <w:pStyle w:val="ListBullet"/>
        <w:widowControl/>
      </w:pPr>
      <w:r>
        <w:t>Verify provider webhook authenticity before changing payment or access state.</w:t>
      </w:r>
    </w:p>
    <w:p>
      <w:pPr>
        <w:pStyle w:val="ListBullet"/>
        <w:widowControl/>
      </w:pPr>
      <w:r>
        <w:t>Protect state-changing actions with authorization and CSRF controls.</w:t>
      </w:r>
    </w:p>
    <w:p>
      <w:pPr>
        <w:pStyle w:val="ListBullet"/>
        <w:widowControl/>
      </w:pPr>
      <w:r>
        <w:t>Use immutable price versions for explainable financial history.</w:t>
      </w:r>
    </w:p>
    <w:p>
      <w:pPr>
        <w:pStyle w:val="ListBullet"/>
        <w:widowControl/>
      </w:pPr>
      <w:r>
        <w:t>Use least-privilege roles for membership and payment operations.</w:t>
      </w:r>
    </w:p>
    <w:p>
      <w:pPr>
        <w:pStyle w:val="ListBullet"/>
        <w:widowControl/>
      </w:pPr>
      <w:r>
        <w:t>Treat refunds, reversals, disputes and manual overrides as auditable events.</w:t>
      </w:r>
    </w:p>
    <w:p>
      <w:pPr>
        <w:pStyle w:val="ListBullet"/>
        <w:widowControl/>
      </w:pPr>
      <w:r>
        <w:t>Back up membership, admission, payment and event tables with the rest of the Chisimba database.</w:t>
      </w:r>
    </w:p>
    <w:p>
      <w:pPr>
        <w:pStyle w:val="GuideWarning"/>
        <w:shd w:fill="FFF4D6"/>
        <w:widowControl/>
        <w:pBdr>
          <w:left w:val="single" w:sz="18" w:space="8" w:color="D3A52A"/>
        </w:pBdr>
      </w:pPr>
      <w:r>
        <w:rPr>
          <w:b/>
        </w:rPr>
        <w:t xml:space="preserve">Hosted-customer boundary  </w:t>
      </w:r>
      <w:r>
        <w:t>Each customer supplies and controls its own merchant credentials and receives its own funds. Chisimba should not silently route client revenue through KengaLearn or another platform-owned merchant account.</w:t>
      </w:r>
    </w:p>
    <w:p>
      <w:pPr>
        <w:pStyle w:val="Heading2"/>
        <w:widowControl/>
      </w:pPr>
      <w:r>
        <w:t>Provider capability contract</w:t>
      </w:r>
    </w:p>
    <w:p>
      <w:pPr>
        <w:widowControl/>
      </w:pPr>
      <w:r>
        <w:t>Interfaces must expose only configured, available capabilities. Yoco is expected to support once-off ZAR purchases; it must not be presented as automatic recurring billing. PayPal recurring options appear only when the installed adapter and merchant account report them as available.</w:t>
      </w:r>
    </w:p>
    <w:p>
      <w:pPr>
        <w:widowControl/>
      </w:pPr>
      <w:r>
        <w:br w:type="page"/>
      </w:r>
    </w:p>
    <w:p>
      <w:pPr>
        <w:pStyle w:val="Heading1"/>
        <w:widowControl/>
      </w:pPr>
      <w:r>
        <w:t>11. Troubleshooting</w:t>
      </w:r>
    </w:p>
    <w:tbl>
      <w:tblPr>
        <w:tblStyle w:val="TableGrid"/>
        <w:tblW w:type="dxa" w:w="9360"/>
        <w:tblLayout w:type="fixed"/>
        <w:tblLook w:firstColumn="1" w:firstRow="1" w:lastColumn="0" w:lastRow="0" w:noHBand="0" w:noVBand="1" w:val="04A0"/>
        <w:jc w:val="left"/>
        <w:tblInd w:w="120" w:type="dxa"/>
      </w:tblPr>
      <w:tblGrid>
        <w:gridCol w:w="2600"/>
        <w:gridCol w:w="3400"/>
        <w:gridCol w:w="3360"/>
      </w:tblGrid>
      <w:tr>
        <w:trPr>
          <w:tblHeader w:val="true"/>
        </w:trPr>
        <w:tc>
          <w:tcPr>
            <w:tcW w:type="dxa" w:w="2600"/>
            <w:shd w:fill="E8F3FA"/>
            <w:tcMar>
              <w:top w:w="80" w:type="dxa"/>
              <w:start w:w="120" w:type="dxa"/>
              <w:bottom w:w="80" w:type="dxa"/>
              <w:end w:w="120" w:type="dxa"/>
            </w:tcMar>
            <w:vAlign w:val="center"/>
          </w:tcPr>
          <w:p>
            <w:pPr>
              <w:spacing w:after="40" w:line="264" w:lineRule="auto"/>
            </w:pPr>
            <w:r>
              <w:rPr>
                <w:rFonts w:ascii="Calibri" w:hAnsi="Calibri"/>
                <w:b/>
                <w:color w:val="0B2545"/>
                <w:sz w:val="19"/>
              </w:rPr>
              <w:t>Symptom</w:t>
            </w:r>
          </w:p>
        </w:tc>
        <w:tc>
          <w:tcPr>
            <w:tcW w:type="dxa" w:w="3400"/>
            <w:shd w:fill="E8F3FA"/>
            <w:tcMar>
              <w:top w:w="80" w:type="dxa"/>
              <w:start w:w="120" w:type="dxa"/>
              <w:bottom w:w="80" w:type="dxa"/>
              <w:end w:w="120" w:type="dxa"/>
            </w:tcMar>
            <w:vAlign w:val="center"/>
          </w:tcPr>
          <w:p>
            <w:pPr>
              <w:spacing w:after="40" w:line="264" w:lineRule="auto"/>
            </w:pPr>
            <w:r>
              <w:rPr>
                <w:rFonts w:ascii="Calibri" w:hAnsi="Calibri"/>
                <w:b/>
                <w:color w:val="0B2545"/>
                <w:sz w:val="19"/>
              </w:rPr>
              <w:t>Likely explanation</w:t>
            </w:r>
          </w:p>
        </w:tc>
        <w:tc>
          <w:tcPr>
            <w:tcW w:type="dxa" w:w="3360"/>
            <w:shd w:fill="E8F3FA"/>
            <w:tcMar>
              <w:top w:w="80" w:type="dxa"/>
              <w:start w:w="120" w:type="dxa"/>
              <w:bottom w:w="80" w:type="dxa"/>
              <w:end w:w="120" w:type="dxa"/>
            </w:tcMar>
            <w:vAlign w:val="center"/>
          </w:tcPr>
          <w:p>
            <w:pPr>
              <w:spacing w:after="40" w:line="264" w:lineRule="auto"/>
            </w:pPr>
            <w:r>
              <w:rPr>
                <w:rFonts w:ascii="Calibri" w:hAnsi="Calibri"/>
                <w:b/>
                <w:color w:val="0B2545"/>
                <w:sz w:val="19"/>
              </w:rPr>
              <w:t>First action</w:t>
            </w:r>
          </w:p>
        </w:tc>
      </w:tr>
      <w:tr>
        <w:tc>
          <w:tcPr>
            <w:tcW w:type="dxa" w:w="2600"/>
            <w:tcMar>
              <w:top w:w="80" w:type="dxa"/>
              <w:start w:w="120" w:type="dxa"/>
              <w:bottom w:w="80" w:type="dxa"/>
              <w:end w:w="120" w:type="dxa"/>
            </w:tcMar>
            <w:vAlign w:val="center"/>
          </w:tcPr>
          <w:p>
            <w:pPr>
              <w:spacing w:after="40" w:line="264" w:lineRule="auto"/>
            </w:pPr>
            <w:r>
              <w:rPr>
                <w:rFonts w:ascii="Calibri" w:hAnsi="Calibri"/>
                <w:color w:val="0B2545"/>
                <w:sz w:val="19"/>
              </w:rPr>
              <w:t>Learner returned but has no access</w:t>
            </w:r>
          </w:p>
        </w:tc>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Browser return arrived before verified provider event.</w:t>
            </w:r>
          </w:p>
        </w:tc>
        <w:tc>
          <w:tcPr>
            <w:tcW w:type="dxa" w:w="3360"/>
            <w:tcMar>
              <w:top w:w="80" w:type="dxa"/>
              <w:start w:w="120" w:type="dxa"/>
              <w:bottom w:w="80" w:type="dxa"/>
              <w:end w:w="120" w:type="dxa"/>
            </w:tcMar>
            <w:vAlign w:val="center"/>
          </w:tcPr>
          <w:p>
            <w:pPr>
              <w:spacing w:after="40" w:line="264" w:lineRule="auto"/>
            </w:pPr>
            <w:r>
              <w:rPr>
                <w:rFonts w:ascii="Calibri" w:hAnsi="Calibri"/>
                <w:color w:val="0B2545"/>
                <w:sz w:val="19"/>
              </w:rPr>
              <w:t>Check intent and verified events; do not grant from the return URL.</w:t>
            </w:r>
          </w:p>
        </w:tc>
      </w:tr>
      <w:tr>
        <w:tc>
          <w:tcPr>
            <w:tcW w:type="dxa" w:w="2600"/>
            <w:tcMar>
              <w:top w:w="80" w:type="dxa"/>
              <w:start w:w="120" w:type="dxa"/>
              <w:bottom w:w="80" w:type="dxa"/>
              <w:end w:w="120" w:type="dxa"/>
            </w:tcMar>
            <w:vAlign w:val="center"/>
          </w:tcPr>
          <w:p>
            <w:pPr>
              <w:spacing w:after="40" w:line="264" w:lineRule="auto"/>
            </w:pPr>
            <w:r>
              <w:rPr>
                <w:rFonts w:ascii="Calibri" w:hAnsi="Calibri"/>
                <w:color w:val="0B2545"/>
                <w:sz w:val="19"/>
              </w:rPr>
              <w:t>One payment appears twice</w:t>
            </w:r>
          </w:p>
        </w:tc>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Provider delivered a duplicate event.</w:t>
            </w:r>
          </w:p>
        </w:tc>
        <w:tc>
          <w:tcPr>
            <w:tcW w:type="dxa" w:w="3360"/>
            <w:tcMar>
              <w:top w:w="80" w:type="dxa"/>
              <w:start w:w="120" w:type="dxa"/>
              <w:bottom w:w="80" w:type="dxa"/>
              <w:end w:w="120" w:type="dxa"/>
            </w:tcMar>
            <w:vAlign w:val="center"/>
          </w:tcPr>
          <w:p>
            <w:pPr>
              <w:spacing w:after="40" w:line="264" w:lineRule="auto"/>
            </w:pPr>
            <w:r>
              <w:rPr>
                <w:rFonts w:ascii="Calibri" w:hAnsi="Calibri"/>
                <w:color w:val="0B2545"/>
                <w:sz w:val="19"/>
              </w:rPr>
              <w:t>Confirm it is marked duplicate and that only one fulfilment exists.</w:t>
            </w:r>
          </w:p>
        </w:tc>
      </w:tr>
      <w:tr>
        <w:tc>
          <w:tcPr>
            <w:tcW w:type="dxa" w:w="2600"/>
            <w:tcMar>
              <w:top w:w="80" w:type="dxa"/>
              <w:start w:w="120" w:type="dxa"/>
              <w:bottom w:w="80" w:type="dxa"/>
              <w:end w:w="120" w:type="dxa"/>
            </w:tcMar>
            <w:vAlign w:val="center"/>
          </w:tcPr>
          <w:p>
            <w:pPr>
              <w:spacing w:after="40" w:line="264" w:lineRule="auto"/>
            </w:pPr>
            <w:r>
              <w:rPr>
                <w:rFonts w:ascii="Calibri" w:hAnsi="Calibri"/>
                <w:color w:val="0B2545"/>
                <w:sz w:val="19"/>
              </w:rPr>
              <w:t>Payment succeeded but membership is missing</w:t>
            </w:r>
          </w:p>
        </w:tc>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Fulfilment is pending or failed.</w:t>
            </w:r>
          </w:p>
        </w:tc>
        <w:tc>
          <w:tcPr>
            <w:tcW w:type="dxa" w:w="3360"/>
            <w:tcMar>
              <w:top w:w="80" w:type="dxa"/>
              <w:start w:w="120" w:type="dxa"/>
              <w:bottom w:w="80" w:type="dxa"/>
              <w:end w:w="120" w:type="dxa"/>
            </w:tcMar>
            <w:vAlign w:val="center"/>
          </w:tcPr>
          <w:p>
            <w:pPr>
              <w:spacing w:after="40" w:line="264" w:lineRule="auto"/>
            </w:pPr>
            <w:r>
              <w:rPr>
                <w:rFonts w:ascii="Calibri" w:hAnsi="Calibri"/>
                <w:color w:val="0B2545"/>
                <w:sz w:val="19"/>
              </w:rPr>
              <w:t>Use the correlation trail; check membership-service and logs.</w:t>
            </w:r>
          </w:p>
        </w:tc>
      </w:tr>
      <w:tr>
        <w:tc>
          <w:tcPr>
            <w:tcW w:type="dxa" w:w="2600"/>
            <w:tcMar>
              <w:top w:w="80" w:type="dxa"/>
              <w:start w:w="120" w:type="dxa"/>
              <w:bottom w:w="80" w:type="dxa"/>
              <w:end w:w="120" w:type="dxa"/>
            </w:tcMar>
            <w:vAlign w:val="center"/>
          </w:tcPr>
          <w:p>
            <w:pPr>
              <w:spacing w:after="40" w:line="264" w:lineRule="auto"/>
            </w:pPr>
            <w:r>
              <w:rPr>
                <w:rFonts w:ascii="Calibri" w:hAnsi="Calibri"/>
                <w:color w:val="0B2545"/>
                <w:sz w:val="19"/>
              </w:rPr>
              <w:t>Private purchase succeeded but course is denied</w:t>
            </w:r>
          </w:p>
        </w:tc>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Course admission mode or product reference is wrong.</w:t>
            </w:r>
          </w:p>
        </w:tc>
        <w:tc>
          <w:tcPr>
            <w:tcW w:type="dxa" w:w="3360"/>
            <w:tcMar>
              <w:top w:w="80" w:type="dxa"/>
              <w:start w:w="120" w:type="dxa"/>
              <w:bottom w:w="80" w:type="dxa"/>
              <w:end w:w="120" w:type="dxa"/>
            </w:tcMar>
            <w:vAlign w:val="center"/>
          </w:tcPr>
          <w:p>
            <w:pPr>
              <w:spacing w:after="40" w:line="264" w:lineRule="auto"/>
            </w:pPr>
            <w:r>
              <w:rPr>
                <w:rFonts w:ascii="Calibri" w:hAnsi="Calibri"/>
                <w:color w:val="0B2545"/>
                <w:sz w:val="19"/>
              </w:rPr>
              <w:t>Confirm Private + Admit on payment and exact course code.</w:t>
            </w:r>
          </w:p>
        </w:tc>
      </w:tr>
      <w:tr>
        <w:tc>
          <w:tcPr>
            <w:tcW w:type="dxa" w:w="2600"/>
            <w:tcMar>
              <w:top w:w="80" w:type="dxa"/>
              <w:start w:w="120" w:type="dxa"/>
              <w:bottom w:w="80" w:type="dxa"/>
              <w:end w:w="120" w:type="dxa"/>
            </w:tcMar>
            <w:vAlign w:val="center"/>
          </w:tcPr>
          <w:p>
            <w:pPr>
              <w:spacing w:after="40" w:line="264" w:lineRule="auto"/>
            </w:pPr>
            <w:r>
              <w:rPr>
                <w:rFonts w:ascii="Calibri" w:hAnsi="Calibri"/>
                <w:color w:val="0B2545"/>
                <w:sz w:val="19"/>
              </w:rPr>
              <w:t>Product does not appear</w:t>
            </w:r>
          </w:p>
        </w:tc>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No effective price, inactive product, unsupported purpose or access already owned.</w:t>
            </w:r>
          </w:p>
        </w:tc>
        <w:tc>
          <w:tcPr>
            <w:tcW w:type="dxa" w:w="3360"/>
            <w:tcMar>
              <w:top w:w="80" w:type="dxa"/>
              <w:start w:w="120" w:type="dxa"/>
              <w:bottom w:w="80" w:type="dxa"/>
              <w:end w:w="120" w:type="dxa"/>
            </w:tcMar>
            <w:vAlign w:val="center"/>
          </w:tcPr>
          <w:p>
            <w:pPr>
              <w:spacing w:after="40" w:line="264" w:lineRule="auto"/>
            </w:pPr>
            <w:r>
              <w:rPr>
                <w:rFonts w:ascii="Calibri" w:hAnsi="Calibri"/>
                <w:color w:val="0B2545"/>
                <w:sz w:val="19"/>
              </w:rPr>
              <w:t>Inspect product, dates and learner admission.</w:t>
            </w:r>
          </w:p>
        </w:tc>
      </w:tr>
      <w:tr>
        <w:tc>
          <w:tcPr>
            <w:tcW w:type="dxa" w:w="2600"/>
            <w:tcMar>
              <w:top w:w="80" w:type="dxa"/>
              <w:start w:w="120" w:type="dxa"/>
              <w:bottom w:w="80" w:type="dxa"/>
              <w:end w:w="120" w:type="dxa"/>
            </w:tcMar>
            <w:vAlign w:val="center"/>
          </w:tcPr>
          <w:p>
            <w:pPr>
              <w:spacing w:after="40" w:line="264" w:lineRule="auto"/>
            </w:pPr>
            <w:r>
              <w:rPr>
                <w:rFonts w:ascii="Calibri" w:hAnsi="Calibri"/>
                <w:color w:val="0B2545"/>
                <w:sz w:val="19"/>
              </w:rPr>
              <w:t>Old checkout remains pending</w:t>
            </w:r>
          </w:p>
        </w:tc>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Abandoned or legacy test attempt.</w:t>
            </w:r>
          </w:p>
        </w:tc>
        <w:tc>
          <w:tcPr>
            <w:tcW w:type="dxa" w:w="3360"/>
            <w:tcMar>
              <w:top w:w="80" w:type="dxa"/>
              <w:start w:w="120" w:type="dxa"/>
              <w:bottom w:w="80" w:type="dxa"/>
              <w:end w:w="120" w:type="dxa"/>
            </w:tcMar>
            <w:vAlign w:val="center"/>
          </w:tcPr>
          <w:p>
            <w:pPr>
              <w:spacing w:after="40" w:line="264" w:lineRule="auto"/>
            </w:pPr>
            <w:r>
              <w:rPr>
                <w:rFonts w:ascii="Calibri" w:hAnsi="Calibri"/>
                <w:color w:val="0B2545"/>
                <w:sz w:val="19"/>
              </w:rPr>
              <w:t>Reconcile against provider; do not infer success.</w:t>
            </w:r>
          </w:p>
        </w:tc>
      </w:tr>
      <w:tr>
        <w:tc>
          <w:tcPr>
            <w:tcW w:type="dxa" w:w="2600"/>
            <w:tcMar>
              <w:top w:w="80" w:type="dxa"/>
              <w:start w:w="120" w:type="dxa"/>
              <w:bottom w:w="80" w:type="dxa"/>
              <w:end w:w="120" w:type="dxa"/>
            </w:tcMar>
            <w:vAlign w:val="center"/>
          </w:tcPr>
          <w:p>
            <w:pPr>
              <w:spacing w:after="40" w:line="264" w:lineRule="auto"/>
            </w:pPr>
            <w:r>
              <w:rPr>
                <w:rFonts w:ascii="Calibri" w:hAnsi="Calibri"/>
                <w:color w:val="0B2545"/>
                <w:sz w:val="19"/>
              </w:rPr>
              <w:t>Refund did not remove access</w:t>
            </w:r>
          </w:p>
        </w:tc>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Access may be manual or from a different payment.</w:t>
            </w:r>
          </w:p>
        </w:tc>
        <w:tc>
          <w:tcPr>
            <w:tcW w:type="dxa" w:w="3360"/>
            <w:tcMar>
              <w:top w:w="80" w:type="dxa"/>
              <w:start w:w="120" w:type="dxa"/>
              <w:bottom w:w="80" w:type="dxa"/>
              <w:end w:w="120" w:type="dxa"/>
            </w:tcMar>
            <w:vAlign w:val="center"/>
          </w:tcPr>
          <w:p>
            <w:pPr>
              <w:spacing w:after="40" w:line="264" w:lineRule="auto"/>
            </w:pPr>
            <w:r>
              <w:rPr>
                <w:rFonts w:ascii="Calibri" w:hAnsi="Calibri"/>
                <w:color w:val="0B2545"/>
                <w:sz w:val="19"/>
              </w:rPr>
              <w:t>Match the fulfilment idempotency/correlation lineage.</w:t>
            </w:r>
          </w:p>
        </w:tc>
      </w:tr>
      <w:tr>
        <w:tc>
          <w:tcPr>
            <w:tcW w:type="dxa" w:w="2600"/>
            <w:tcMar>
              <w:top w:w="80" w:type="dxa"/>
              <w:start w:w="120" w:type="dxa"/>
              <w:bottom w:w="80" w:type="dxa"/>
              <w:end w:w="120" w:type="dxa"/>
            </w:tcMar>
            <w:vAlign w:val="center"/>
          </w:tcPr>
          <w:p>
            <w:pPr>
              <w:spacing w:after="40" w:line="264" w:lineRule="auto"/>
            </w:pPr>
            <w:r>
              <w:rPr>
                <w:rFonts w:ascii="Calibri" w:hAnsi="Calibri"/>
                <w:color w:val="0B2545"/>
                <w:sz w:val="19"/>
              </w:rPr>
              <w:t>Module update reports a duplicate column</w:t>
            </w:r>
          </w:p>
        </w:tc>
        <w:tc>
          <w:tcPr>
            <w:tcW w:type="dxa" w:w="3400"/>
            <w:tcMar>
              <w:top w:w="80" w:type="dxa"/>
              <w:start w:w="120" w:type="dxa"/>
              <w:bottom w:w="80" w:type="dxa"/>
              <w:end w:w="120" w:type="dxa"/>
            </w:tcMar>
            <w:vAlign w:val="center"/>
          </w:tcPr>
          <w:p>
            <w:pPr>
              <w:spacing w:after="40" w:line="264" w:lineRule="auto"/>
            </w:pPr>
            <w:r>
              <w:rPr>
                <w:rFonts w:ascii="Calibri" w:hAnsi="Calibri"/>
                <w:color w:val="0B2545"/>
                <w:sz w:val="19"/>
              </w:rPr>
              <w:t>Schema change was already applied.</w:t>
            </w:r>
          </w:p>
        </w:tc>
        <w:tc>
          <w:tcPr>
            <w:tcW w:type="dxa" w:w="3360"/>
            <w:tcMar>
              <w:top w:w="80" w:type="dxa"/>
              <w:start w:w="120" w:type="dxa"/>
              <w:bottom w:w="80" w:type="dxa"/>
              <w:end w:w="120" w:type="dxa"/>
            </w:tcMar>
            <w:vAlign w:val="center"/>
          </w:tcPr>
          <w:p>
            <w:pPr>
              <w:spacing w:after="40" w:line="264" w:lineRule="auto"/>
            </w:pPr>
            <w:r>
              <w:rPr>
                <w:rFonts w:ascii="Calibri" w:hAnsi="Calibri"/>
                <w:color w:val="0B2545"/>
                <w:sz w:val="19"/>
              </w:rPr>
              <w:t>Use the idempotent upgrade path; do not manually drop the column.</w:t>
            </w:r>
          </w:p>
        </w:tc>
      </w:tr>
    </w:tbl>
    <w:p>
      <w:pPr>
        <w:widowControl/>
      </w:pPr>
      <w:r>
        <w:br w:type="page"/>
      </w:r>
    </w:p>
    <w:p>
      <w:pPr>
        <w:pStyle w:val="Heading2"/>
        <w:widowControl/>
      </w:pPr>
      <w:r>
        <w:t>Escalation information</w:t>
      </w:r>
    </w:p>
    <w:p>
      <w:pPr>
        <w:pStyle w:val="ListBullet"/>
        <w:widowControl/>
      </w:pPr>
      <w:r>
        <w:t>Site and module version, without secrets.</w:t>
      </w:r>
    </w:p>
    <w:p>
      <w:pPr>
        <w:pStyle w:val="ListBullet"/>
        <w:widowControl/>
      </w:pPr>
      <w:r>
        <w:t>Username and product code.</w:t>
      </w:r>
    </w:p>
    <w:p>
      <w:pPr>
        <w:pStyle w:val="ListBullet"/>
        <w:widowControl/>
      </w:pPr>
      <w:r>
        <w:t>Approximate time and configured timezone.</w:t>
      </w:r>
    </w:p>
    <w:p>
      <w:pPr>
        <w:pStyle w:val="ListBullet"/>
        <w:widowControl/>
      </w:pPr>
      <w:r>
        <w:t>Intent, provider event and correlation references.</w:t>
      </w:r>
    </w:p>
    <w:p>
      <w:pPr>
        <w:pStyle w:val="ListBullet"/>
        <w:widowControl/>
      </w:pPr>
      <w:r>
        <w:t>Observed payment state and observed access state.</w:t>
      </w:r>
    </w:p>
    <w:p>
      <w:pPr>
        <w:pStyle w:val="ListBullet"/>
        <w:widowControl/>
      </w:pPr>
      <w:r>
        <w:t>Steps already attempted and whether the issue is reproducible with the fake provider.</w:t>
      </w:r>
    </w:p>
    <w:p>
      <w:pPr>
        <w:pStyle w:val="Heading1"/>
        <w:widowControl/>
      </w:pPr>
      <w:r>
        <w:t>12. Launch and handover checklists</w:t>
      </w:r>
    </w:p>
    <w:p>
      <w:pPr>
        <w:pStyle w:val="Heading2"/>
        <w:widowControl/>
      </w:pPr>
      <w:r>
        <w:t>Before enabling a real provider</w:t>
      </w:r>
    </w:p>
    <w:p>
      <w:pPr>
        <w:pStyle w:val="ListBullet"/>
        <w:widowControl/>
      </w:pPr>
      <w:r>
        <w:t>☐ Merchant agreement and settlement account belong to the operating organisation.</w:t>
      </w:r>
    </w:p>
    <w:p>
      <w:pPr>
        <w:pStyle w:val="ListBullet"/>
        <w:widowControl/>
      </w:pPr>
      <w:r>
        <w:t>☐ Sandbox and live credentials are separated and protected.</w:t>
      </w:r>
    </w:p>
    <w:p>
      <w:pPr>
        <w:pStyle w:val="ListBullet"/>
        <w:widowControl/>
      </w:pPr>
      <w:r>
        <w:t>☐ Webhook endpoint is reachable and signature verification is tested.</w:t>
      </w:r>
    </w:p>
    <w:p>
      <w:pPr>
        <w:pStyle w:val="ListBullet"/>
        <w:widowControl/>
      </w:pPr>
      <w:r>
        <w:t>☐ Products, currencies, amounts and effective dates have been reviewed by two people.</w:t>
      </w:r>
    </w:p>
    <w:p>
      <w:pPr>
        <w:pStyle w:val="ListBullet"/>
        <w:widowControl/>
      </w:pPr>
      <w:r>
        <w:t>☐ Refund, reversal, dispute, grace and cancellation policies are written.</w:t>
      </w:r>
    </w:p>
    <w:p>
      <w:pPr>
        <w:pStyle w:val="ListBullet"/>
        <w:widowControl/>
      </w:pPr>
      <w:r>
        <w:t>☐ Registration and verification return to the intended purchase journey.</w:t>
      </w:r>
    </w:p>
    <w:p>
      <w:pPr>
        <w:pStyle w:val="ListBullet"/>
        <w:widowControl/>
      </w:pPr>
      <w:r>
        <w:t>☐ Success, failure, abandonment, delay, duplicate and refund journeys have passed.</w:t>
      </w:r>
    </w:p>
    <w:p>
      <w:pPr>
        <w:pStyle w:val="ListBullet"/>
        <w:widowControl/>
      </w:pPr>
      <w:r>
        <w:t>☐ Worker installation and health checks are documented and active.</w:t>
      </w:r>
    </w:p>
    <w:p>
      <w:pPr>
        <w:pStyle w:val="ListBullet"/>
        <w:widowControl/>
      </w:pPr>
      <w:r>
        <w:t>☐ Support staff have this guide and know what financial data never to request.</w:t>
      </w:r>
    </w:p>
    <w:p>
      <w:pPr>
        <w:pStyle w:val="ListBullet"/>
        <w:widowControl/>
      </w:pPr>
      <w:r>
        <w:t>☐ TEST products are disabled or removed from the customer catalogue.</w:t>
      </w:r>
    </w:p>
    <w:p>
      <w:pPr>
        <w:pStyle w:val="Heading2"/>
        <w:widowControl/>
      </w:pPr>
      <w:r>
        <w:t>Customer handover</w:t>
      </w:r>
    </w:p>
    <w:p>
      <w:pPr>
        <w:pStyle w:val="ListBullet"/>
        <w:widowControl/>
      </w:pPr>
      <w:r>
        <w:t>☐ Appoint at least one named site administrator and one backup.</w:t>
      </w:r>
    </w:p>
    <w:p>
      <w:pPr>
        <w:pStyle w:val="ListBullet"/>
        <w:widowControl/>
      </w:pPr>
      <w:r>
        <w:t>☐ Appoint Membership Managers using least privilege.</w:t>
      </w:r>
    </w:p>
    <w:p>
      <w:pPr>
        <w:pStyle w:val="ListBullet"/>
        <w:widowControl/>
      </w:pPr>
      <w:r>
        <w:t>☐ Demonstrate product/price management and immutable price history.</w:t>
      </w:r>
    </w:p>
    <w:p>
      <w:pPr>
        <w:pStyle w:val="ListBullet"/>
        <w:widowControl/>
      </w:pPr>
      <w:r>
        <w:t>☐ Demonstrate manual membership and private admission.</w:t>
      </w:r>
    </w:p>
    <w:p>
      <w:pPr>
        <w:pStyle w:val="ListBullet"/>
        <w:widowControl/>
      </w:pPr>
      <w:r>
        <w:t>☐ Demonstrate payment reconciliation and correlation lookup.</w:t>
      </w:r>
    </w:p>
    <w:p>
      <w:pPr>
        <w:pStyle w:val="ListBullet"/>
        <w:widowControl/>
      </w:pPr>
      <w:r>
        <w:t>☐ Agree the daily, weekly and monthly operating cadence.</w:t>
      </w:r>
    </w:p>
    <w:p>
      <w:pPr>
        <w:pStyle w:val="ListBullet"/>
        <w:widowControl/>
      </w:pPr>
      <w:r>
        <w:t>☐ Record provider support contacts and escalation ownership.</w:t>
      </w:r>
    </w:p>
    <w:p>
      <w:pPr>
        <w:pStyle w:val="ListBullet"/>
        <w:widowControl/>
      </w:pPr>
      <w:r>
        <w:t>☐ Schedule a post-launch reconciliation review.</w:t>
      </w:r>
    </w:p>
    <w:p>
      <w:pPr>
        <w:pStyle w:val="Heading2"/>
        <w:widowControl/>
      </w:pPr>
      <w:r>
        <w:t>Provider-specific addenda</w:t>
      </w:r>
    </w:p>
    <w:p>
      <w:pPr>
        <w:widowControl/>
      </w:pPr>
      <w:r>
        <w:t>Yoco and PayPal installation, credential, webhook, sandbox and refund procedures will be added after each adapter has passed its real sandbox contract and browser-flow tests. Until then, do not infer those steps from the fake provider.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F6B"/>
        <w:sz w:val="17"/>
      </w:rPr>
      <w:t xml:space="preserve">Membership and payment operations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555F6B"/>
        <w:sz w:val="17"/>
      </w:rPr>
      <w:t>CHISIMBA REVIVAL  |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abstractNum w:abstractNumId="13">
    <w:multiLevelType w:val="singleLevel"/>
    <w:lvl w:ilvl="0">
      <w:start w:val="1"/>
      <w:numFmt w:val="decimal"/>
      <w:lvlText w:val="%1."/>
      <w:lvlJc w:val="left"/>
      <w:pPr>
        <w:tabs>
          <w:tab w:val="num" w:pos="540"/>
        </w:tabs>
        <w:ind w:left="540" w:hanging="270"/>
      </w:pPr>
    </w:lvl>
  </w:abstractNum>
  <w:num w:numId="14">
    <w:abstractNumId w:val="13"/>
  </w:num>
  <w:abstractNum w:abstractNumId="14">
    <w:multiLevelType w:val="singleLevel"/>
    <w:lvl w:ilvl="0">
      <w:start w:val="1"/>
      <w:numFmt w:val="decimal"/>
      <w:lvlText w:val="%1."/>
      <w:lvlJc w:val="left"/>
      <w:pPr>
        <w:tabs>
          <w:tab w:val="num" w:pos="540"/>
        </w:tabs>
        <w:ind w:left="540" w:hanging="27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6FB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6FB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55F6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ote">
    <w:name w:val="Guide Note"/>
    <w:basedOn w:val="Normal"/>
    <w:pPr>
      <w:spacing w:before="140" w:after="140" w:line="288" w:lineRule="auto"/>
      <w:ind w:left="259" w:right="259"/>
    </w:pPr>
    <w:rPr>
      <w:rFonts w:ascii="Calibri" w:hAnsi="Calibri"/>
      <w:color w:val="0B2545"/>
      <w:sz w:val="21"/>
    </w:rPr>
  </w:style>
  <w:style w:type="paragraph" w:customStyle="1" w:styleId="GuideWarning">
    <w:name w:val="Guide Warning"/>
    <w:basedOn w:val="Normal"/>
    <w:pPr>
      <w:spacing w:before="140" w:after="140" w:line="288" w:lineRule="auto"/>
      <w:ind w:left="259" w:right="259"/>
    </w:pPr>
    <w:rPr>
      <w:rFonts w:ascii="Calibri" w:hAnsi="Calibri"/>
      <w:color w:val="0B2545"/>
      <w:sz w:val="21"/>
    </w:rPr>
  </w:style>
  <w:style w:type="paragraph" w:customStyle="1" w:styleId="GuideSuccess">
    <w:name w:val="Guide Success"/>
    <w:basedOn w:val="Normal"/>
    <w:pPr>
      <w:spacing w:before="140" w:after="140" w:line="288" w:lineRule="auto"/>
      <w:ind w:left="259" w:right="259"/>
    </w:pPr>
    <w:rPr>
      <w:rFonts w:ascii="Calibri" w:hAnsi="Calibr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Chisimba Membership and Payment Operations Guide</dc:title>
  <dc:subject>Operational guide for membership, paid access and payment administration</dc:subject>
  <dc:creator>Chisimba Revival</dc:creator>
  <cp:keywords>Chisimba, membership, payment, private admission, operations</cp:keywords>
  <dc:description>generated by python-docx</dc:description>
  <cp:lastModifiedBy/>
  <cp:revision>1</cp:revision>
  <dcterms:created xsi:type="dcterms:W3CDTF">2013-12-23T23:15:00Z</dcterms:created>
  <dcterms:modified xsi:type="dcterms:W3CDTF">2013-12-23T23:15:00Z</dcterms:modified>
  <cp:category/>
</cp:coreProperties>
</file>