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DAD6" w14:textId="77777777" w:rsidR="00846DAE" w:rsidRDefault="00000000">
      <w:pPr>
        <w:pStyle w:val="Heading1"/>
      </w:pPr>
      <w:bookmarkStart w:id="0" w:name="study1"/>
      <w:r>
        <w:t>Study 1</w:t>
      </w:r>
    </w:p>
    <w:p w14:paraId="62B530B0" w14:textId="77777777" w:rsidR="00846DAE" w:rsidRDefault="00000000">
      <w:pPr>
        <w:pStyle w:val="FirstParagraph"/>
      </w:pPr>
      <w:r>
        <w:t xml:space="preserve">Research question 1 (RQ1) asks: Is increased experience with linguistic diversity (hereafter, </w:t>
      </w:r>
      <w:r>
        <w:rPr>
          <w:i/>
          <w:iCs/>
        </w:rPr>
        <w:t>experiential linguistic diversity</w:t>
      </w:r>
      <w:r>
        <w:t>)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14:paraId="5C19ADD2" w14:textId="77777777" w:rsidR="00846DAE" w:rsidRDefault="00000000">
      <w:pPr>
        <w:pStyle w:val="BodyText"/>
      </w:pPr>
      <w:r>
        <w:t>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p w14:paraId="602E41FB" w14:textId="77777777" w:rsidR="00846DAE" w:rsidRDefault="00000000">
      <w:pPr>
        <w:pStyle w:val="Heading2"/>
      </w:pPr>
      <w:bookmarkStart w:id="1" w:name="st1-methods"/>
      <w:r>
        <w:t>Methodology</w:t>
      </w:r>
    </w:p>
    <w:p w14:paraId="69A61B37" w14:textId="77777777" w:rsidR="00846DAE" w:rsidRDefault="00000000">
      <w:pPr>
        <w:pStyle w:val="FirstParagraph"/>
      </w:pPr>
      <w:r>
        <w:t xml:space="preserve">Table </w:t>
      </w:r>
      <w:hyperlink w:anchor="st1-proc-tab">
        <w:r>
          <w:fldChar w:fldCharType="begin"/>
        </w:r>
        <w:r>
          <w:instrText xml:space="preserve"> REF st1-proc-tab \h</w:instrText>
        </w:r>
        <w:r w:rsidR="001F3BE0">
          <w:fldChar w:fldCharType="separate"/>
        </w:r>
        <w:r w:rsidR="001F3BE0">
          <w:rPr>
            <w:b/>
            <w:noProof/>
          </w:rPr>
          <w:t>1</w:t>
        </w:r>
        <w:r>
          <w:fldChar w:fldCharType="end"/>
        </w:r>
      </w:hyperlink>
      <w:r>
        <w:t xml:space="preserve"> 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w:t>
      </w:r>
      <w:r>
        <w:lastRenderedPageBreak/>
        <w:t>Gorilla.sc (Anwyl-Irvine et al. 2020).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 (Milne et al. 2021). The participants then completed the Visual Analog Scale (VAS) task and Linguistic Diversity Questionnaire (LDQ), after which they read a short debriefing on the purpose of the experiment. All study parts took approximately an hour to complete.</w:t>
      </w:r>
    </w:p>
    <w:p w14:paraId="246EEF70" w14:textId="77777777" w:rsidR="00846DAE" w:rsidRDefault="00000000" w:rsidP="001F3BE0">
      <w:pPr>
        <w:pStyle w:val="TableCaption"/>
      </w:pPr>
      <w:r>
        <w:rPr>
          <w:b/>
        </w:rPr>
        <w:t xml:space="preserve">Table </w:t>
      </w:r>
      <w:bookmarkStart w:id="2" w:name="st1-proc-tab"/>
      <w:r>
        <w:rPr>
          <w:b/>
        </w:rPr>
        <w:fldChar w:fldCharType="begin"/>
      </w:r>
      <w:r>
        <w:rPr>
          <w:b/>
        </w:rPr>
        <w:instrText>SEQ tab \* Arabic</w:instrText>
      </w:r>
      <w:r w:rsidR="001F3BE0">
        <w:rPr>
          <w:b/>
        </w:rPr>
        <w:fldChar w:fldCharType="separate"/>
      </w:r>
      <w:r w:rsidR="001F3BE0">
        <w:rPr>
          <w:b/>
          <w:noProof/>
        </w:rPr>
        <w:t>1</w:t>
      </w:r>
      <w:r>
        <w:rPr>
          <w:b/>
        </w:rPr>
        <w:fldChar w:fldCharType="end"/>
      </w:r>
      <w:bookmarkEnd w:id="2"/>
      <w:r>
        <w:rPr>
          <w:b/>
        </w:rPr>
        <w:t xml:space="preserve">: </w:t>
      </w:r>
      <w:r>
        <w:t>Order and description of tasks for Study 1.</w:t>
      </w:r>
    </w:p>
    <w:tbl>
      <w:tblPr>
        <w:tblW w:w="0" w:type="pct"/>
        <w:jc w:val="center"/>
        <w:tblLook w:val="0420" w:firstRow="1" w:lastRow="0" w:firstColumn="0" w:lastColumn="0" w:noHBand="0" w:noVBand="1"/>
      </w:tblPr>
      <w:tblGrid>
        <w:gridCol w:w="950"/>
        <w:gridCol w:w="2092"/>
        <w:gridCol w:w="4394"/>
        <w:gridCol w:w="1924"/>
      </w:tblGrid>
      <w:tr w:rsidR="00846DAE" w14:paraId="4435EBA9"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E469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0632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9D50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3DFD9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846DAE" w14:paraId="609B200B" w14:textId="77777777">
        <w:trPr>
          <w:cantSplit/>
          <w:jc w:val="center"/>
        </w:trPr>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39E849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35178A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78EC32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Obtain consent</w:t>
            </w:r>
            <w:r>
              <w:rPr>
                <w:rFonts w:eastAsia="MS Mincho" w:hAnsi="Helvetica" w:cs="Helvetica"/>
                <w:color w:val="000000"/>
                <w:sz w:val="22"/>
                <w:szCs w:val="22"/>
              </w:rPr>
              <w:br/>
              <w:t>- Ensure browser auto plays audio and volume is set to comfortable listening level</w:t>
            </w:r>
            <w:r>
              <w:rPr>
                <w:rFonts w:eastAsia="MS Mincho" w:hAnsi="Helvetica" w:cs="Helvetica"/>
                <w:color w:val="000000"/>
                <w:sz w:val="22"/>
                <w:szCs w:val="22"/>
              </w:rPr>
              <w:br/>
              <w:t>- Ensure participant is wearing wired binaural headphones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E0E41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r>
      <w:tr w:rsidR="00846DAE" w14:paraId="3BCCF57B"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29301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26EA5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and L2 VAS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4F94C2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L1 and L2 speech categorization gradiency</w:t>
            </w:r>
            <w:r>
              <w:rPr>
                <w:rFonts w:eastAsia="MS Mincho" w:hAnsi="Helvetica" w:cs="Helvetica"/>
                <w:color w:val="000000"/>
                <w:sz w:val="22"/>
                <w:szCs w:val="22"/>
              </w:rPr>
              <w:br/>
              <w:t>- Measure L1 and L2 secondary cue use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AEC06C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w:t>
            </w:r>
          </w:p>
        </w:tc>
      </w:tr>
      <w:tr w:rsidR="00846DAE" w14:paraId="491C4355"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0F24CD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A79E5A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16C684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experiential linguistic diversity from active and passive use of and exposure to known and unknown languages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6E9242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846DAE" w14:paraId="01681D22" w14:textId="77777777">
        <w:trPr>
          <w:cantSplit/>
          <w:jc w:val="center"/>
        </w:trPr>
        <w:tc>
          <w:tcPr>
            <w:tcW w:w="0" w:type="auto"/>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4FEDF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Note: VAS = Visual Analog Scale; LDQ = Linguistic Diversity Questionnaire</w:t>
            </w:r>
          </w:p>
        </w:tc>
      </w:tr>
      <w:tr w:rsidR="00846DAE" w14:paraId="2E0190CE" w14:textId="77777777">
        <w:trPr>
          <w:cantSplit/>
          <w:jc w:val="center"/>
        </w:trPr>
        <w:tc>
          <w:tcPr>
            <w:tcW w:w="0" w:type="auto"/>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324805"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D1CFB87" w14:textId="77777777" w:rsidR="00846DAE" w:rsidRDefault="00000000">
      <w:pPr>
        <w:pStyle w:val="Heading3"/>
      </w:pPr>
      <w:bookmarkStart w:id="3" w:name="st1-participants"/>
      <w:r>
        <w:t>Participants</w:t>
      </w:r>
    </w:p>
    <w:p w14:paraId="2BEA2D38" w14:textId="77777777" w:rsidR="00846DAE" w:rsidRDefault="00000000">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interested in participants with a broad range of linguistic backgrounds. For the purpose of the research design, the only language requirement was that participants must be an L1 English user, </w:t>
      </w:r>
      <w:r>
        <w:lastRenderedPageBreak/>
        <w:t>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 (Brown et al. 2023).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14:paraId="51D57DE5" w14:textId="77777777" w:rsidR="00846DAE" w:rsidRDefault="00000000">
      <w:pPr>
        <w:pStyle w:val="Compact"/>
        <w:numPr>
          <w:ilvl w:val="0"/>
          <w:numId w:val="65"/>
        </w:numPr>
      </w:pPr>
      <w:r>
        <w:t>What is your first language?” (Answer must include English)</w:t>
      </w:r>
    </w:p>
    <w:p w14:paraId="064B9366" w14:textId="77777777" w:rsidR="00846DAE" w:rsidRDefault="00000000">
      <w:pPr>
        <w:pStyle w:val="Compact"/>
        <w:numPr>
          <w:ilvl w:val="0"/>
          <w:numId w:val="65"/>
        </w:numPr>
      </w:pPr>
      <w:r>
        <w:t>What language(s) did you speak earliest in life?” (Answer must include English)</w:t>
      </w:r>
    </w:p>
    <w:p w14:paraId="1C6259B8" w14:textId="77777777" w:rsidR="00846DAE" w:rsidRDefault="00000000">
      <w:pPr>
        <w:pStyle w:val="Compact"/>
        <w:numPr>
          <w:ilvl w:val="0"/>
          <w:numId w:val="65"/>
        </w:numPr>
      </w:pPr>
      <w:r>
        <w:t>Which of the following languages are you fluent in?” (Answer must include English)</w:t>
      </w:r>
    </w:p>
    <w:p w14:paraId="04189B06" w14:textId="77777777" w:rsidR="00846DAE" w:rsidRDefault="00000000">
      <w:pPr>
        <w:pStyle w:val="Compact"/>
        <w:numPr>
          <w:ilvl w:val="0"/>
          <w:numId w:val="65"/>
        </w:numPr>
      </w:pPr>
      <w:r>
        <w:t>Which of the following is your primary spoken language?” (Answer must include English)</w:t>
      </w:r>
    </w:p>
    <w:p w14:paraId="3EFFEAFB" w14:textId="77777777" w:rsidR="00846DAE" w:rsidRDefault="00000000">
      <w:pPr>
        <w:pStyle w:val="FirstParagraph"/>
      </w:pPr>
      <w:r>
        <w:t>Of the 100 participants recruited, all 100 completed the VAS task but two participants did not complete the LDQ. An additional 22 participants did not provide usable answers to the questionnaire. Although all 100 participants are featured in the descriptive statistics of the VAS task, the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US at the time of the study, excluding 11 states with certain data privacy laws.</w:t>
      </w:r>
    </w:p>
    <w:p w14:paraId="7AE662B1" w14:textId="77777777" w:rsidR="00846DAE" w:rsidRDefault="00000000">
      <w:pPr>
        <w:pStyle w:val="Heading3"/>
      </w:pPr>
      <w:bookmarkStart w:id="4" w:name="st1-vas"/>
      <w:bookmarkEnd w:id="3"/>
      <w:r>
        <w:t>VAS Task: Measuring categorization gradiency and secondary cue use</w:t>
      </w:r>
    </w:p>
    <w:p w14:paraId="73651363" w14:textId="77777777" w:rsidR="00846DAE" w:rsidRDefault="00000000">
      <w:pPr>
        <w:pStyle w:val="Heading4"/>
      </w:pPr>
      <w:bookmarkStart w:id="5" w:name="st1-vas-stim"/>
      <w:r>
        <w:t>Speech stimuli</w:t>
      </w:r>
    </w:p>
    <w:p w14:paraId="07A5BD2C" w14:textId="77777777" w:rsidR="00846DAE" w:rsidRDefault="00000000">
      <w:pPr>
        <w:pStyle w:val="FirstParagraph"/>
      </w:pPr>
      <w:r>
        <w:t>The VAS task was used to measure gradient categorization of L1 (English) and L2 (Japanese) speech and perceptual flexibility. Listeners were asked to judge a series of stimuli from a continuum that varies in equal steps along auditory dimensions between a pair of phonemic contrasts.</w:t>
      </w:r>
    </w:p>
    <w:p w14:paraId="7C56EC5D" w14:textId="77777777" w:rsidR="00846DAE" w:rsidRDefault="00000000">
      <w:pPr>
        <w:pStyle w:val="BodyText"/>
      </w:pPr>
      <w:r>
        <w:lastRenderedPageBreak/>
        <w:t>The speech contrasts used were the English vowel tense-lax contrast using /i/-/ɪ/ (</w:t>
      </w:r>
      <w:r>
        <w:rPr>
          <w:i/>
          <w:iCs/>
        </w:rPr>
        <w:t>reason</w:t>
      </w:r>
      <w:r>
        <w:t xml:space="preserve"> vs. </w:t>
      </w:r>
      <w:r>
        <w:rPr>
          <w:i/>
          <w:iCs/>
        </w:rPr>
        <w:t>risen</w:t>
      </w:r>
      <w:r>
        <w:t>), the English stop consonant voicing contrast using /d/-/t/ (</w:t>
      </w:r>
      <w:r>
        <w:rPr>
          <w:i/>
          <w:iCs/>
        </w:rPr>
        <w:t>indent-</w:t>
      </w:r>
      <w:r>
        <w:rPr>
          <w:smallCaps/>
        </w:rPr>
        <w:t>verb</w:t>
      </w:r>
      <w:r>
        <w:t xml:space="preserve"> vs. </w:t>
      </w:r>
      <w:r>
        <w:rPr>
          <w:i/>
          <w:iCs/>
        </w:rPr>
        <w:t>intent</w:t>
      </w:r>
      <w:r>
        <w:t>), the Japanese vowel length contrast using /o/-/oo/ (</w:t>
      </w:r>
      <w:r>
        <w:rPr>
          <w:i/>
          <w:iCs/>
        </w:rPr>
        <w:t>toru</w:t>
      </w:r>
      <w:r>
        <w:t xml:space="preserve"> ‘take’ vs. </w:t>
      </w:r>
      <w:r>
        <w:rPr>
          <w:i/>
          <w:iCs/>
        </w:rPr>
        <w:t>tooru</w:t>
      </w:r>
      <w:r>
        <w:t xml:space="preserve"> ‘pass through’), and the Japanese consonant gemination contrast using /t/-/tt/ (</w:t>
      </w:r>
      <w:r>
        <w:rPr>
          <w:i/>
          <w:iCs/>
        </w:rPr>
        <w:t>kita</w:t>
      </w:r>
      <w:r>
        <w:t xml:space="preserve"> ‘come-</w:t>
      </w:r>
      <w:r>
        <w:rPr>
          <w:smallCaps/>
        </w:rPr>
        <w:t>past tense</w:t>
      </w:r>
      <w:r>
        <w:t>’ vs. </w:t>
      </w:r>
      <w:r>
        <w:rPr>
          <w:i/>
          <w:iCs/>
        </w:rPr>
        <w:t>kitta</w:t>
      </w:r>
      <w:r>
        <w:t xml:space="preserve"> ‘cut- </w:t>
      </w:r>
      <w:r>
        <w:rPr>
          <w:smallCaps/>
        </w:rPr>
        <w:t>past tense</w:t>
      </w:r>
      <w:r>
        <w:t xml:space="preserve">’). These words were chosen to match in number of syllables and to have the contrast occur word-medially. Specifically for </w:t>
      </w:r>
      <w:r>
        <w:rPr>
          <w:i/>
          <w:iCs/>
        </w:rPr>
        <w:t>indent</w:t>
      </w:r>
      <w:r>
        <w:t xml:space="preserve"> vs. </w:t>
      </w:r>
      <w:r>
        <w:rPr>
          <w:i/>
          <w:iCs/>
        </w:rPr>
        <w:t>intent</w:t>
      </w:r>
      <w:r>
        <w:t>, the words were chosen to have the stress fall on the second syllable to avoid flapping, or the phonological process in which intervocalic [t] is pronounced as a flap [ɾ] when the second syllable is unstressed.</w:t>
      </w:r>
    </w:p>
    <w:p w14:paraId="2DB6B282" w14:textId="77777777" w:rsidR="00846DAE" w:rsidRDefault="00000000">
      <w:pPr>
        <w:pStyle w:val="BodyText"/>
      </w:pPr>
      <w:r>
        <w:t xml:space="preserve">The continua were synthesized from naturally recorded speech of each endpoint word embedded in carrier sentences (English: “Please say ‘__’ again”; Japanese: </w:t>
      </w:r>
      <w:r>
        <w:rPr>
          <w:rFonts w:hint="eastAsia"/>
        </w:rPr>
        <w:t>また「</w:t>
      </w:r>
      <w:r>
        <w:rPr>
          <w:rFonts w:hint="eastAsia"/>
        </w:rPr>
        <w:t>__</w:t>
      </w:r>
      <w:r>
        <w:rPr>
          <w:rFonts w:hint="eastAsia"/>
        </w:rPr>
        <w:t>」と言ってください</w:t>
      </w:r>
      <w:r>
        <w:t xml:space="preserve"> </w:t>
      </w:r>
      <w:r>
        <w:rPr>
          <w:i/>
          <w:iCs/>
        </w:rPr>
        <w:t>mata __ to itte kudasai</w:t>
      </w:r>
      <w:r>
        <w:t xml:space="preserve">). The target word was surrounded by quotation marks/brackets for the talker to add a slight but natural pause in between the target word and the rest of the carrier sentence. The speech for both English and Japanese were recorded by the same 37-year-old female Japanese-English bilingual speaker who is fluent in both languages. The speaker was born in Japan and spent her childhood in France, the UK, and Japan. As of the time of recording, the speaker has lived in the US for 13 years and speaks American English without any discernable foreign accent. The speaker was recorded in a sound-attenuated booth with a Shure SM48 microphone fitted with foam windscreen connected via XLR cable to a Focusrite Scarlett 4i4 3rd Gen USB audio interface connected to a 2021 M1 MacBook Pro laptop. The speech was recorded in mono via Praat (Boersma and Weenink 2024) with a sampling rate of 44,100 Hz. The speaker was presented with each sentence individually on a computer screen and asked to produce each sentence twice at a natural speaking rate. After denoising the recordings using the Praat function </w:t>
      </w:r>
      <w:r>
        <w:rPr>
          <w:rStyle w:val="VerbatimChar"/>
        </w:rPr>
        <w:t>Filter -&gt; Reduce noise</w:t>
      </w:r>
      <w:r>
        <w:t xml:space="preserve">, the best production of the two repetitions was chosen and the target word excised for </w:t>
      </w:r>
      <w:r>
        <w:lastRenderedPageBreak/>
        <w:t>further processing. The stimuli for each pair were chosen to minimize the differences in acoustic variation for the non-contrasting segments shared between the minimal pair.</w:t>
      </w:r>
    </w:p>
    <w:p w14:paraId="54EAEF54" w14:textId="77777777" w:rsidR="00846DAE" w:rsidRDefault="00000000">
      <w:pPr>
        <w:pStyle w:val="BodyText"/>
      </w:pPr>
      <w:r>
        <w:t>For each of the four pairs, I constructed a 7x5 two-dimensional continuum using Praat by orthogonally manipulating the primary acoustic cue in seven equal steps and the secondary acoustic cue in five equal steps between each endpoint. This created a total of 35 synthesized tokens for each continuum.</w:t>
      </w:r>
    </w:p>
    <w:p w14:paraId="53EC5C01" w14:textId="77777777" w:rsidR="00846DAE" w:rsidRDefault="00000000">
      <w:pPr>
        <w:pStyle w:val="BodyText"/>
      </w:pPr>
      <w:r>
        <w:t>[insert concrete descriptions of cues and manipulations, and table, and don’t forget to cite Matt Winn]</w:t>
      </w:r>
    </w:p>
    <w:p w14:paraId="2D92812F" w14:textId="77777777" w:rsidR="00846DAE" w:rsidRDefault="00000000">
      <w:pPr>
        <w:pStyle w:val="BodyText"/>
      </w:pPr>
      <w:r>
        <w:t>For the /i/-/ɪ/ continuum, the primary acoustic cue is vowel F1/F2 formant pattern, and the secondary cue is vowel duration. For the /d/-/t/ continuum, the primary acoustic cue is VOT, and the secondary acoustic cue is vowel onset F0. For the vowel length continuum, the primary acoustic cue is vowel duration, and the secondary acoustic cue is vowel F0 contour. For the consonant length continuum, the primary acoustic cue is closure duration, and the secondary acoustic cue is change in F0 from the pre-consonant vowel to the post-consonant vowel, i.e. pitch accent pattern.</w:t>
      </w:r>
    </w:p>
    <w:p w14:paraId="6872B459" w14:textId="77777777" w:rsidR="00846DAE" w:rsidRDefault="00000000">
      <w:pPr>
        <w:pStyle w:val="BodyText"/>
      </w:pPr>
      <w:r>
        <w:t>The stimulus set can be found and listened to in the supplementary materials at (osf/github).</w:t>
      </w:r>
    </w:p>
    <w:p w14:paraId="137DB717" w14:textId="77777777" w:rsidR="00846DAE" w:rsidRDefault="00000000">
      <w:pPr>
        <w:pStyle w:val="Heading4"/>
      </w:pPr>
      <w:bookmarkStart w:id="6" w:name="st1-vas-proc"/>
      <w:bookmarkEnd w:id="5"/>
      <w:r>
        <w:t>Procedure</w:t>
      </w:r>
    </w:p>
    <w:p w14:paraId="58E5B164" w14:textId="77777777" w:rsidR="00846DAE" w:rsidRDefault="00000000">
      <w:pPr>
        <w:pStyle w:val="FirstParagraph"/>
      </w:pPr>
      <w:r>
        <w:t xml:space="preserve">Listeners received detailed instructions on how to complete the VAS task. Because the task also involves categorizing non-L1 words they have possibly never heard before, participants were be given the chance to listen to the natural speech recordings of all eight words (i.e., </w:t>
      </w:r>
      <w:r>
        <w:rPr>
          <w:i/>
          <w:iCs/>
        </w:rPr>
        <w:t>indent, intent,</w:t>
      </w:r>
      <w:r>
        <w:t xml:space="preserve"> </w:t>
      </w:r>
      <w:r>
        <w:rPr>
          <w:i/>
          <w:iCs/>
        </w:rPr>
        <w:t>reason, risen, kita</w:t>
      </w:r>
      <w:r>
        <w:t xml:space="preserve">, </w:t>
      </w:r>
      <w:r>
        <w:rPr>
          <w:i/>
          <w:iCs/>
        </w:rPr>
        <w:t>kitta, toru</w:t>
      </w:r>
      <w:r>
        <w:t xml:space="preserve">, </w:t>
      </w:r>
      <w:r>
        <w:rPr>
          <w:i/>
          <w:iCs/>
        </w:rPr>
        <w:t>tooru</w:t>
      </w:r>
      <w:r>
        <w:t xml:space="preserve">) and a chance to interact with the sliding scale used in the task. In each experimental trial (see Figure </w:t>
      </w:r>
      <w:hyperlink w:anchor="st1-vas-trial">
        <w:r>
          <w:fldChar w:fldCharType="begin"/>
        </w:r>
        <w:r>
          <w:instrText xml:space="preserve"> REF st1-vas-trial \h</w:instrText>
        </w:r>
        <w:r w:rsidR="001F3BE0">
          <w:fldChar w:fldCharType="separate"/>
        </w:r>
        <w:r w:rsidR="001F3BE0">
          <w:rPr>
            <w:b/>
            <w:noProof/>
          </w:rPr>
          <w:t>1</w:t>
        </w:r>
        <w:r>
          <w:fldChar w:fldCharType="end"/>
        </w:r>
      </w:hyperlink>
      <w:r>
        <w:t xml:space="preserve">), the participant heard a stimulus token while viewing a fixation cross, after which they were presented a horizontal line in the center of the screen with </w:t>
      </w:r>
      <w:r>
        <w:lastRenderedPageBreak/>
        <w:t>each word of the contrast pair at either end. To avoid biasing the participants, there are no anchor points anywhere along the line, such as at either endpoint or in the center (Paul-Dauphin et al. 1999).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from the end of a trial at response submission to the presentation of the stimulus for the next trial, and a 150 ms buffer after the stimulus finished playing before presentation of the scale.</w:t>
      </w:r>
    </w:p>
    <w:p w14:paraId="7ED32077" w14:textId="77777777" w:rsidR="00846DAE" w:rsidRDefault="00000000">
      <w:pPr>
        <w:pStyle w:val="Figure"/>
        <w:jc w:val="center"/>
      </w:pPr>
      <w:r>
        <w:rPr>
          <w:noProof/>
        </w:rPr>
        <w:drawing>
          <wp:inline distT="0" distB="0" distL="0" distR="0" wp14:anchorId="5D9A3BDA" wp14:editId="00F6FB02">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63500" cy="50800"/>
                    </a:xfrm>
                    <a:prstGeom prst="rect">
                      <a:avLst/>
                    </a:prstGeom>
                    <a:noFill/>
                  </pic:spPr>
                </pic:pic>
              </a:graphicData>
            </a:graphic>
          </wp:inline>
        </w:drawing>
      </w:r>
    </w:p>
    <w:p w14:paraId="04917EF4" w14:textId="77777777" w:rsidR="00846DAE" w:rsidRDefault="00000000">
      <w:pPr>
        <w:pStyle w:val="ImageCaption"/>
      </w:pPr>
      <w:r>
        <w:rPr>
          <w:b/>
        </w:rPr>
        <w:t xml:space="preserve">Figure </w:t>
      </w:r>
      <w:bookmarkStart w:id="7" w:name="st1-vas-trial"/>
      <w:r>
        <w:rPr>
          <w:b/>
        </w:rPr>
        <w:fldChar w:fldCharType="begin"/>
      </w:r>
      <w:r>
        <w:rPr>
          <w:b/>
        </w:rPr>
        <w:instrText>SEQ fig \* Arabic</w:instrText>
      </w:r>
      <w:r w:rsidR="001F3BE0">
        <w:rPr>
          <w:b/>
        </w:rPr>
        <w:fldChar w:fldCharType="separate"/>
      </w:r>
      <w:r w:rsidR="001F3BE0">
        <w:rPr>
          <w:b/>
          <w:noProof/>
        </w:rPr>
        <w:t>1</w:t>
      </w:r>
      <w:r>
        <w:rPr>
          <w:b/>
        </w:rPr>
        <w:fldChar w:fldCharType="end"/>
      </w:r>
      <w:bookmarkEnd w:id="7"/>
      <w:r>
        <w:rPr>
          <w:b/>
        </w:rPr>
        <w:t xml:space="preserve">: </w:t>
      </w:r>
      <w:r>
        <w:t>Example VAS Trial</w:t>
      </w:r>
    </w:p>
    <w:p w14:paraId="5CC00492" w14:textId="77777777" w:rsidR="00846DAE" w:rsidRDefault="00000000">
      <w:pPr>
        <w:pStyle w:val="BodyText"/>
      </w:pPr>
      <w:r>
        <w:t xml:space="preserve">For the English contrast pair continua, the words on either side of the VAS sliding scale on the screen were written in English. For the Japanese contrast pair continua, the words on either </w:t>
      </w:r>
      <w:r>
        <w:lastRenderedPageBreak/>
        <w:t xml:space="preserve">side of the VAS sliding scale were written in both </w:t>
      </w:r>
      <w:r>
        <w:rPr>
          <w:i/>
          <w:iCs/>
        </w:rPr>
        <w:t>hiragana</w:t>
      </w:r>
      <w:r>
        <w:t xml:space="preserve"> and </w:t>
      </w:r>
      <w:r>
        <w:rPr>
          <w:i/>
          <w:iCs/>
        </w:rPr>
        <w:t>romaji</w:t>
      </w:r>
      <w:r>
        <w:t xml:space="preserve"> (Roman letters). The romanization of the Japanese words were as they are written in the above paragraph. For each contrast pair, the left-right position of each word on the endpoints was randomized to be counterbalanced across participants (but consistent within-participant across the trials of a given continuum).</w:t>
      </w:r>
    </w:p>
    <w:p w14:paraId="4D7C3C24" w14:textId="77777777" w:rsidR="00846DAE" w:rsidRDefault="00000000">
      <w:pPr>
        <w:pStyle w:val="BodyText"/>
      </w:pPr>
      <w:r>
        <w:t>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14:paraId="321C0885" w14:textId="77777777" w:rsidR="00846DAE" w:rsidRDefault="00000000">
      <w:pPr>
        <w:pStyle w:val="BodyText"/>
      </w:pPr>
      <w:r>
        <w:t>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 Kong &amp; Kang (Kong and Kang 2023). The order of the within-language blocks was randomized to be counterbalanced across participants.</w:t>
      </w:r>
    </w:p>
    <w:p w14:paraId="787FAF2E" w14:textId="77777777" w:rsidR="00846DAE" w:rsidRDefault="00000000">
      <w:pPr>
        <w:pStyle w:val="Heading4"/>
      </w:pPr>
      <w:bookmarkStart w:id="8" w:name="st1-vas-prep"/>
      <w:bookmarkEnd w:id="6"/>
      <w:r>
        <w:t>VAS data preprocessing</w:t>
      </w:r>
    </w:p>
    <w:p w14:paraId="557061E2" w14:textId="77777777" w:rsidR="00846DAE" w:rsidRDefault="00000000">
      <w:pPr>
        <w:pStyle w:val="FirstParagraph"/>
      </w:pPr>
      <w:r>
        <w:t xml:space="preserve">Figure </w:t>
      </w:r>
      <w:hyperlink w:anchor="apfelbaum-vas-curve">
        <w:r>
          <w:fldChar w:fldCharType="begin"/>
        </w:r>
        <w:r>
          <w:instrText xml:space="preserve"> REF apfelbaum-vas-curve \h</w:instrText>
        </w:r>
        <w:r w:rsidR="001F3BE0">
          <w:fldChar w:fldCharType="separate"/>
        </w:r>
        <w:r w:rsidR="001F3BE0">
          <w:rPr>
            <w:b/>
            <w:noProof/>
          </w:rPr>
          <w:t>2</w:t>
        </w:r>
        <w:r>
          <w:fldChar w:fldCharType="end"/>
        </w:r>
      </w:hyperlink>
      <w:r>
        <w:t xml:space="preserve"> (Apfelbaum et al. 2022) displays hypothetical VAS data plotted on a graph with one-dimensional continuum step along the x-axis (Step 1-7) and response rating on the y-axis (0-100, </w:t>
      </w:r>
      <w:r>
        <w:lastRenderedPageBreak/>
        <w:t xml:space="preserve">with 0 representing one side of the rating scale (e.g., </w:t>
      </w:r>
      <w:r>
        <w:rPr>
          <w:i/>
          <w:iCs/>
        </w:rPr>
        <w:t>indent</w:t>
      </w:r>
      <w:r>
        <w:t xml:space="preserve">) and 100 representing the other side (e.g., </w:t>
      </w:r>
      <w:r>
        <w:rPr>
          <w:i/>
          <w:iCs/>
        </w:rPr>
        <w:t>intent</w:t>
      </w:r>
      <w:r>
        <w:t>) on the y-axis. When plotted as such, VAS data is typically fit with a logistic curve function from which four parameters are estimated: (1) the minimum and (2) maximum asymptotes 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 (Apfelbaum et al. 2022; Kutlu, Chiu, and McMurray 2022).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disambiguated using response variability. Shallow slopes with low response variability theoretically represent consistent, “true” gradient response patterns (Panel B), while shallow slopes with high response variability theoretically represent inconsistent, noisy response patterns (Panel C).</w:t>
      </w:r>
    </w:p>
    <w:p w14:paraId="536803C7" w14:textId="77777777" w:rsidR="00846DAE" w:rsidRDefault="00000000">
      <w:pPr>
        <w:pStyle w:val="Figure"/>
        <w:jc w:val="center"/>
      </w:pPr>
      <w:r>
        <w:rPr>
          <w:noProof/>
        </w:rPr>
        <w:lastRenderedPageBreak/>
        <w:drawing>
          <wp:inline distT="0" distB="0" distL="0" distR="0" wp14:anchorId="1E0822EB" wp14:editId="393044C6">
            <wp:extent cx="4572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63500" cy="50800"/>
                    </a:xfrm>
                    <a:prstGeom prst="rect">
                      <a:avLst/>
                    </a:prstGeom>
                    <a:noFill/>
                  </pic:spPr>
                </pic:pic>
              </a:graphicData>
            </a:graphic>
          </wp:inline>
        </w:drawing>
      </w:r>
    </w:p>
    <w:p w14:paraId="5865B99D" w14:textId="77777777" w:rsidR="00846DAE" w:rsidRDefault="00000000">
      <w:pPr>
        <w:pStyle w:val="ImageCaption"/>
      </w:pPr>
      <w:r>
        <w:rPr>
          <w:b/>
        </w:rPr>
        <w:t xml:space="preserve">Figure </w:t>
      </w:r>
      <w:bookmarkStart w:id="9" w:name="apfelbaum-vas-curve"/>
      <w:r>
        <w:rPr>
          <w:b/>
        </w:rPr>
        <w:fldChar w:fldCharType="begin"/>
      </w:r>
      <w:r>
        <w:rPr>
          <w:b/>
        </w:rPr>
        <w:instrText>SEQ fig \* Arabic</w:instrText>
      </w:r>
      <w:r w:rsidR="001F3BE0">
        <w:rPr>
          <w:b/>
        </w:rPr>
        <w:fldChar w:fldCharType="separate"/>
      </w:r>
      <w:r w:rsidR="001F3BE0">
        <w:rPr>
          <w:b/>
          <w:noProof/>
        </w:rPr>
        <w:t>2</w:t>
      </w:r>
      <w:r>
        <w:rPr>
          <w:b/>
        </w:rPr>
        <w:fldChar w:fldCharType="end"/>
      </w:r>
      <w:bookmarkEnd w:id="9"/>
      <w:r>
        <w:rPr>
          <w:b/>
        </w:rPr>
        <w:t xml:space="preserve">: </w:t>
      </w:r>
      <w:r>
        <w:t>Hypothetical one-dimensional VAS data plotted with fitted logistic curve (from Apfelbaum et al., 2022)</w:t>
      </w:r>
    </w:p>
    <w:p w14:paraId="518EB172" w14:textId="77777777" w:rsidR="00846DAE" w:rsidRDefault="00000000">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of both the primary and secondary acoustic cues. Figure </w:t>
      </w:r>
      <w:hyperlink w:anchor="kapnoula-2d-vas-heatmap">
        <w:r>
          <w:fldChar w:fldCharType="begin"/>
        </w:r>
        <w:r>
          <w:instrText xml:space="preserve"> REF kapnoula-2d-vas-heatmap \h</w:instrText>
        </w:r>
        <w:r w:rsidR="001F3BE0">
          <w:fldChar w:fldCharType="separate"/>
        </w:r>
        <w:r w:rsidR="001F3BE0">
          <w:rPr>
            <w:b/>
            <w:noProof/>
          </w:rPr>
          <w:t>3</w:t>
        </w:r>
        <w:r>
          <w:fldChar w:fldCharType="end"/>
        </w:r>
      </w:hyperlink>
      <w:r>
        <w:t xml:space="preserve"> (Kapnoula et al. 2017) provides two hypothetical response patterns from two-dimensional VAS data when plotted on a graph with the primary acoustic cue on the x-axis and the secondary acoustic cue on the y-axis, (in these examples, voice onset time (VOT) and fundamental frequency (F</w:t>
      </w:r>
      <w:r>
        <w:rPr>
          <w:vertAlign w:val="subscript"/>
        </w:rPr>
        <w:t>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 </w:t>
      </w:r>
      <m:oMath>
        <m:r>
          <w:rPr>
            <w:rFonts w:ascii="Cambria Math" w:hAnsi="Cambria Math"/>
          </w:rPr>
          <m:t>θ</m:t>
        </m:r>
      </m:oMath>
      <w:r>
        <w:t xml:space="preserve"> (theta).</w:t>
      </w:r>
    </w:p>
    <w:p w14:paraId="6A3A5474" w14:textId="77777777" w:rsidR="00846DAE" w:rsidRDefault="00000000">
      <w:pPr>
        <w:pStyle w:val="Figure"/>
        <w:jc w:val="center"/>
      </w:pPr>
      <w:r>
        <w:rPr>
          <w:noProof/>
        </w:rPr>
        <w:lastRenderedPageBreak/>
        <w:drawing>
          <wp:inline distT="0" distB="0" distL="0" distR="0" wp14:anchorId="0BCB3623" wp14:editId="0DE8A28D">
            <wp:extent cx="45720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63500" cy="50800"/>
                    </a:xfrm>
                    <a:prstGeom prst="rect">
                      <a:avLst/>
                    </a:prstGeom>
                    <a:noFill/>
                  </pic:spPr>
                </pic:pic>
              </a:graphicData>
            </a:graphic>
          </wp:inline>
        </w:drawing>
      </w:r>
    </w:p>
    <w:p w14:paraId="5AC6D183" w14:textId="77777777" w:rsidR="00846DAE" w:rsidRDefault="00000000">
      <w:pPr>
        <w:pStyle w:val="ImageCaption"/>
      </w:pPr>
      <w:r>
        <w:rPr>
          <w:b/>
        </w:rPr>
        <w:t xml:space="preserve">Figure </w:t>
      </w:r>
      <w:bookmarkStart w:id="10" w:name="kapnoula-2d-vas-heatmap"/>
      <w:r>
        <w:rPr>
          <w:b/>
        </w:rPr>
        <w:fldChar w:fldCharType="begin"/>
      </w:r>
      <w:r>
        <w:rPr>
          <w:b/>
        </w:rPr>
        <w:instrText>SEQ fig \* Arabic</w:instrText>
      </w:r>
      <w:r w:rsidR="001F3BE0">
        <w:rPr>
          <w:b/>
        </w:rPr>
        <w:fldChar w:fldCharType="separate"/>
      </w:r>
      <w:r w:rsidR="001F3BE0">
        <w:rPr>
          <w:b/>
          <w:noProof/>
        </w:rPr>
        <w:t>3</w:t>
      </w:r>
      <w:r>
        <w:rPr>
          <w:b/>
        </w:rPr>
        <w:fldChar w:fldCharType="end"/>
      </w:r>
      <w:bookmarkEnd w:id="10"/>
      <w:r>
        <w:rPr>
          <w:b/>
        </w:rPr>
        <w:t xml:space="preserve">: </w:t>
      </w:r>
      <w:r>
        <w:t>Hypothetical two-dimensional VAS data (from Kapnoula et al., 2017)</w:t>
      </w:r>
    </w:p>
    <w:p w14:paraId="18607399" w14:textId="77777777" w:rsidR="00846DAE" w:rsidRDefault="00000000">
      <w:pPr>
        <w:pStyle w:val="BodyText"/>
      </w:pPr>
      <w:r>
        <w:t xml:space="preserve">Crucially, unlike one-dimensional logistic curve fitting, slope cannot be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using a rotated logistic function; Figure </w:t>
      </w:r>
      <w:hyperlink w:anchor="kapnoula-rotlog-fit">
        <w:r>
          <w:fldChar w:fldCharType="begin"/>
        </w:r>
        <w:r>
          <w:instrText xml:space="preserve"> REF kapnoula-rotlog-fit \h</w:instrText>
        </w:r>
        <w:r w:rsidR="001F3BE0">
          <w:fldChar w:fldCharType="separate"/>
        </w:r>
        <w:r w:rsidR="001F3BE0">
          <w:rPr>
            <w:b/>
            <w:noProof/>
          </w:rPr>
          <w:t>4</w:t>
        </w:r>
        <w:r>
          <w:fldChar w:fldCharType="end"/>
        </w:r>
      </w:hyperlink>
      <w:r>
        <w:t xml:space="preserve"> provides a visualization of the fitting process (Kapnoula et al. 2017). The rotated logistic function estimates minimum (</w:t>
      </w:r>
      <w:r>
        <w:rPr>
          <w:i/>
          <w:iCs/>
        </w:rPr>
        <w:t>b</w:t>
      </w:r>
      <w:r>
        <w:rPr>
          <w:i/>
          <w:iCs/>
          <w:vertAlign w:val="subscript"/>
        </w:rPr>
        <w:t>1</w:t>
      </w:r>
      <w:r>
        <w:t>) and maximum asymptotes (</w:t>
      </w:r>
      <w:r>
        <w:rPr>
          <w:i/>
          <w:iCs/>
        </w:rPr>
        <w:t>b</w:t>
      </w:r>
      <w:r>
        <w:rPr>
          <w:i/>
          <w:iCs/>
          <w:vertAlign w:val="subscript"/>
        </w:rPr>
        <w:t>2</w:t>
      </w:r>
      <w:r>
        <w:t>), the two-dimensional category boundary (</w:t>
      </w:r>
      <w:r>
        <w:rPr>
          <w:i/>
          <w:iCs/>
        </w:rPr>
        <w:t>x</w:t>
      </w:r>
      <w:r>
        <w:rPr>
          <w:i/>
          <w:iCs/>
          <w:vertAlign w:val="subscript"/>
        </w:rPr>
        <w:t>0</w:t>
      </w:r>
      <w:r>
        <w:rPr>
          <w:i/>
          <w:iCs/>
        </w:rPr>
        <w:t>, y</w:t>
      </w:r>
      <w:r>
        <w:rPr>
          <w:i/>
          <w:iCs/>
          <w:vertAlign w:val="subscript"/>
        </w:rPr>
        <w:t>0</w:t>
      </w:r>
      <w:r>
        <w:t xml:space="preserve">), where </w:t>
      </w:r>
      <w:r>
        <w:rPr>
          <w:i/>
          <w:iCs/>
        </w:rPr>
        <w:t>x</w:t>
      </w:r>
      <w:r>
        <w:rPr>
          <w:i/>
          <w:iCs/>
          <w:vertAlign w:val="subscript"/>
        </w:rPr>
        <w:t>0</w:t>
      </w:r>
      <w:r>
        <w:t xml:space="preserve"> is the location of the boundary along the primary cue and </w:t>
      </w:r>
      <w:r>
        <w:rPr>
          <w:i/>
          <w:iCs/>
        </w:rPr>
        <w:t>y</w:t>
      </w:r>
      <w:r>
        <w:rPr>
          <w:i/>
          <w:iCs/>
          <w:vertAlign w:val="subscript"/>
        </w:rPr>
        <w:t>0</w:t>
      </w:r>
      <w:r>
        <w:t xml:space="preserve"> is the location of the boundary along the secondary cue, multiple cue integration (</w:t>
      </w:r>
      <m:oMath>
        <m:r>
          <w:rPr>
            <w:rFonts w:ascii="Cambria Math" w:hAnsi="Cambria Math"/>
          </w:rPr>
          <m:t>θ</m:t>
        </m:r>
      </m:oMath>
      <w:r>
        <w:t>), and finally slope (</w:t>
      </w:r>
      <w:r>
        <w:rPr>
          <w:i/>
          <w:iCs/>
        </w:rPr>
        <w:t>s</w:t>
      </w:r>
      <w:r>
        <w:t xml:space="preserve">). Here, slope is calculated after the coordinate 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w:t>
      </w:r>
      <w:r>
        <w:lastRenderedPageBreak/>
        <w:t>independent of secondary cue use and does not conflate between the slope of the two-dimensional category boundary and the gradiency measure slope (Kapnoula et al. 2017; Kapnoula, Edwards, and McMurray 2021; Kapnoula and McMurray 2021; Kapnoula and Samuel 2024).</w:t>
      </w:r>
    </w:p>
    <w:p w14:paraId="473F625D" w14:textId="77777777" w:rsidR="00846DAE" w:rsidRDefault="00000000">
      <w:pPr>
        <w:pStyle w:val="Figure"/>
        <w:jc w:val="center"/>
      </w:pPr>
      <w:r>
        <w:rPr>
          <w:noProof/>
        </w:rPr>
        <w:drawing>
          <wp:inline distT="0" distB="0" distL="0" distR="0" wp14:anchorId="30B0B9CA" wp14:editId="06D44790">
            <wp:extent cx="45720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63500" cy="50800"/>
                    </a:xfrm>
                    <a:prstGeom prst="rect">
                      <a:avLst/>
                    </a:prstGeom>
                    <a:noFill/>
                  </pic:spPr>
                </pic:pic>
              </a:graphicData>
            </a:graphic>
          </wp:inline>
        </w:drawing>
      </w:r>
    </w:p>
    <w:p w14:paraId="65AD62F3" w14:textId="77777777" w:rsidR="00846DAE" w:rsidRDefault="00000000">
      <w:pPr>
        <w:pStyle w:val="ImageCaption"/>
      </w:pPr>
      <w:r>
        <w:rPr>
          <w:b/>
        </w:rPr>
        <w:t xml:space="preserve">Figure </w:t>
      </w:r>
      <w:bookmarkStart w:id="11" w:name="kapnoula-rotlog-fit"/>
      <w:r>
        <w:rPr>
          <w:b/>
        </w:rPr>
        <w:fldChar w:fldCharType="begin"/>
      </w:r>
      <w:r>
        <w:rPr>
          <w:b/>
        </w:rPr>
        <w:instrText>SEQ fig \* Arabic</w:instrText>
      </w:r>
      <w:r w:rsidR="001F3BE0">
        <w:rPr>
          <w:b/>
        </w:rPr>
        <w:fldChar w:fldCharType="separate"/>
      </w:r>
      <w:r w:rsidR="001F3BE0">
        <w:rPr>
          <w:b/>
          <w:noProof/>
        </w:rPr>
        <w:t>4</w:t>
      </w:r>
      <w:r>
        <w:rPr>
          <w:b/>
        </w:rPr>
        <w:fldChar w:fldCharType="end"/>
      </w:r>
      <w:bookmarkEnd w:id="11"/>
      <w:r>
        <w:rPr>
          <w:b/>
        </w:rPr>
        <w:t xml:space="preserve">: </w:t>
      </w:r>
      <w:r>
        <w:t>Visualization of the rotated logistic curve fitting process (from Kapnoula et al., 2017)</w:t>
      </w:r>
    </w:p>
    <w:p w14:paraId="47B9E3F6" w14:textId="77777777" w:rsidR="00846DAE" w:rsidRDefault="00000000">
      <w:pPr>
        <w:pStyle w:val="BodyText"/>
      </w:pPr>
      <w:r>
        <w:t xml:space="preserve">The rotated logistic function was fit to each participant’s VAS data (separately for each of the four continua) using a constrained gradient descent algorithm that minimized least squared error with the Nonlinear Curvefitting for Psycholinguistics Data MATLAB package (software freely available at McMurray 2017). The data were cleaned prior to fitting the rotated logistic function. All 100 participants performed the VAS task as expected, resulting in a total of 42000 data points (100 participants x 420 trials). Across all participants, the data were filtered to first remove individual trials with a reaction time of over 10 seconds. On a per participant basis, the data were further filtered to remove trials with reaction times three median absolute deviations (MAD) above or below the participants median reaction time. This resulted in a total of 40683 </w:t>
      </w:r>
      <w:r>
        <w:lastRenderedPageBreak/>
        <w:t>data points that were used the curve fitting process. More details on the fitting process are available in the Appendix/supplementary materials.</w:t>
      </w:r>
    </w:p>
    <w:p w14:paraId="416B2C7C" w14:textId="77777777" w:rsidR="00846DAE" w:rsidRDefault="00000000">
      <w:pPr>
        <w:pStyle w:val="BodyText"/>
      </w:pPr>
      <w:r>
        <w:t>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log-transformed and mean-centered. The log-transformation roughly normalized the distribution. The log-transformed VAS slope values were used in the analysis models, often labeled as “Slope” for simplicity.</w:t>
      </w:r>
    </w:p>
    <w:p w14:paraId="47965BE6" w14:textId="77777777" w:rsidR="00846DAE" w:rsidRDefault="00000000">
      <w:pPr>
        <w:pStyle w:val="BodyText"/>
      </w:pPr>
      <w:r>
        <w:t xml:space="preserve">The estimate of response variability is calculated as the standard deviation of the residuals per fit, also known as the </w:t>
      </w:r>
      <w:proofErr w:type="gramStart"/>
      <w:r>
        <w:t>root</w:t>
      </w:r>
      <w:proofErr w:type="gramEnd"/>
      <w:r>
        <w:t xml:space="preserve"> mean square error (RMSE), or the square root of the averaged squared residuals (Kapnoula et al. 2017). Low RMSE indicates responses relatively close to the curve (low variability) while high RMSE indicates responses relatively far from the curve (high variability). Response variability remained untransformed in the analysis models, labeled as “Response Variability”.</w:t>
      </w:r>
    </w:p>
    <w:p w14:paraId="6E507200" w14:textId="77777777" w:rsidR="00846DAE" w:rsidRDefault="00000000">
      <w:pPr>
        <w:pStyle w:val="BodyText"/>
      </w:pPr>
      <w:r>
        <w:t>Lastly, as mentioned, the estimate of theta is a continuous measure of secondary cue usage, with 90</w:t>
      </w:r>
      <m:oMath>
        <m:r>
          <m:rPr>
            <m:sty m:val="p"/>
          </m:rPr>
          <w:rPr>
            <w:rFonts w:ascii="Cambria Math" w:hAnsi="Cambria Math"/>
          </w:rPr>
          <m:t>∘</m:t>
        </m:r>
      </m:oMath>
      <w:r>
        <w:t xml:space="preserve"> indicating exclusive use of the primary cue (Figure </w:t>
      </w:r>
      <w:hyperlink w:anchor="kapnoula-2d-vas-heatmap">
        <w:r>
          <w:fldChar w:fldCharType="begin"/>
        </w:r>
        <w:r>
          <w:instrText xml:space="preserve"> REF kapnoula-2d-vas-heatmap \h</w:instrText>
        </w:r>
        <w:r w:rsidR="001F3BE0">
          <w:fldChar w:fldCharType="separate"/>
        </w:r>
        <w:r w:rsidR="001F3BE0">
          <w:rPr>
            <w:b/>
            <w:noProof/>
          </w:rPr>
          <w:t>3</w:t>
        </w:r>
        <w:r>
          <w:fldChar w:fldCharType="end"/>
        </w:r>
      </w:hyperlink>
      <w:r>
        <w:t>A), and decreasing values (toward 0</w:t>
      </w:r>
      <m:oMath>
        <m:r>
          <m:rPr>
            <m:sty m:val="p"/>
          </m:rPr>
          <w:rPr>
            <w:rFonts w:ascii="Cambria Math" w:hAnsi="Cambria Math"/>
          </w:rPr>
          <m:t>∘</m:t>
        </m:r>
      </m:oMath>
      <w:r>
        <w:t>) indicating increasing reliance on the secondary cue. Theta values near 45</w:t>
      </w:r>
      <m:oMath>
        <m:r>
          <m:rPr>
            <m:sty m:val="p"/>
          </m:rPr>
          <w:rPr>
            <w:rFonts w:ascii="Cambria Math" w:hAnsi="Cambria Math"/>
          </w:rPr>
          <m:t>∘</m:t>
        </m:r>
      </m:oMath>
      <w:r>
        <w:t xml:space="preserve"> reflect relatively </w:t>
      </w:r>
      <w:r>
        <w:lastRenderedPageBreak/>
        <w:t xml:space="preserve">equal use of the primary and secondary cues (Figure </w:t>
      </w:r>
      <w:hyperlink w:anchor="kapnoula-2d-vas-heatmap">
        <w:r>
          <w:fldChar w:fldCharType="begin"/>
        </w:r>
        <w:r>
          <w:instrText xml:space="preserve"> REF kapnoula-2d-vas-heatmap \h</w:instrText>
        </w:r>
        <w:r w:rsidR="001F3BE0">
          <w:fldChar w:fldCharType="separate"/>
        </w:r>
        <w:r w:rsidR="001F3BE0">
          <w:rPr>
            <w:b/>
            <w:noProof/>
          </w:rPr>
          <w:t>3</w:t>
        </w:r>
        <w:r>
          <w:fldChar w:fldCharType="end"/>
        </w:r>
      </w:hyperlink>
      <w:r>
        <w:t>B), while theta values near 0</w:t>
      </w:r>
      <m:oMath>
        <m:r>
          <m:rPr>
            <m:sty m:val="p"/>
          </m:rPr>
          <w:rPr>
            <w:rFonts w:ascii="Cambria Math" w:hAnsi="Cambria Math"/>
          </w:rPr>
          <m:t>∘</m:t>
        </m:r>
      </m:oMath>
      <w:r>
        <w:t xml:space="preserve"> reflect near exclusive use of the secondary cue. Values greater than 90</w:t>
      </w:r>
      <m:oMath>
        <m:r>
          <m:rPr>
            <m:sty m:val="p"/>
          </m:rPr>
          <w:rPr>
            <w:rFonts w:ascii="Cambria Math" w:hAnsi="Cambria Math"/>
          </w:rPr>
          <m:t>∘</m:t>
        </m:r>
      </m:oMath>
      <w:r>
        <w:t xml:space="preserve">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w:t>
      </w:r>
      <m:oMath>
        <m:r>
          <m:rPr>
            <m:sty m:val="p"/>
          </m:rPr>
          <w:rPr>
            <w:rFonts w:ascii="Cambria Math" w:hAnsi="Cambria Math"/>
          </w:rPr>
          <m:t>∘</m:t>
        </m:r>
      </m:oMath>
      <w:r>
        <w:t xml:space="preserve"> indicate relatively equal use of the primary and secondary cue, with one or both cues being reversed, while theta values at 180</w:t>
      </w:r>
      <m:oMath>
        <m:r>
          <m:rPr>
            <m:sty m:val="p"/>
          </m:rPr>
          <w:rPr>
            <w:rFonts w:ascii="Cambria Math" w:hAnsi="Cambria Math"/>
          </w:rPr>
          <m:t>∘</m:t>
        </m:r>
      </m:oMath>
      <w:r>
        <w:t xml:space="preserve"> indicate exclusive use of the secondary cue with categorization occurring in a reversed manner relative to the expected responses. To capture these dimensions of theoretical interest, the theta variable was transformed to be centered on exclusive use of primary cue, computed as </w:t>
      </w:r>
      <w:r>
        <w:rPr>
          <w:rStyle w:val="VerbatimChar"/>
        </w:rPr>
        <w:t>newTheta = (90 - Theta)</w:t>
      </w:r>
      <w:r>
        <w:t>, such that 0 = exclusive use of the primary cue, +45 = balanced use of both cues with the expected categorization mapping, and +90 = exclusive use of the secondary cue with the expected categorization, whereas the negative range indicates the same trend of increasing use of the secondary cue from 0 to -90, but with one or both cues being reversed. The transformed theta values were used in the analysis models, often labeled as “Theta” for simplicity.</w:t>
      </w:r>
    </w:p>
    <w:p w14:paraId="1F3255F9" w14:textId="77777777" w:rsidR="00846DAE" w:rsidRDefault="00000000">
      <w:pPr>
        <w:pStyle w:val="Heading3"/>
      </w:pPr>
      <w:bookmarkStart w:id="12" w:name="st1-ldq"/>
      <w:bookmarkEnd w:id="4"/>
      <w:bookmarkEnd w:id="8"/>
      <w:r>
        <w:t>Linguistic Diversity Questionnaire (LDQ): Measuring experiential linguistic diversity</w:t>
      </w:r>
    </w:p>
    <w:p w14:paraId="6919018E" w14:textId="77777777" w:rsidR="00846DAE" w:rsidRDefault="00000000">
      <w:pPr>
        <w:pStyle w:val="Heading4"/>
      </w:pPr>
      <w:bookmarkStart w:id="13" w:name="st1-ldq-proc"/>
      <w:r>
        <w:t>Design and procedure</w:t>
      </w:r>
    </w:p>
    <w:p w14:paraId="7F5D8517" w14:textId="77777777" w:rsidR="00846DAE" w:rsidRDefault="00000000">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The questionnaire measured overall experiential diversity through two primary factors: the diversity of known languages (used and studied) and the diversity of regular exposure in a typical week to both known and unknown </w:t>
      </w:r>
      <w:r>
        <w:lastRenderedPageBreak/>
        <w:t xml:space="preserve">languages in various situational contexts, such as through media consumption, social environment, and interpersonal connections. These factors also differ in that the diversity of known languages measures linguistic diversity of </w:t>
      </w:r>
      <w:r>
        <w:rPr>
          <w:i/>
          <w:iCs/>
        </w:rPr>
        <w:t>active</w:t>
      </w:r>
      <w:r>
        <w:t xml:space="preserve"> language use and exposure while the diversity of known and unknown languages measures the diversity of </w:t>
      </w:r>
      <w:r>
        <w:rPr>
          <w:i/>
          <w:iCs/>
        </w:rPr>
        <w:t>passive</w:t>
      </w:r>
      <w:r>
        <w:t xml:space="preserve"> language use and exposure. Here, passive language use and exposure is defined using the same convention as Castro et al. (Castro, Wodniecka, and Timmer 2022):</w:t>
      </w:r>
    </w:p>
    <w:p w14:paraId="41C7C1C2" w14:textId="77777777" w:rsidR="00846DAE" w:rsidRDefault="00000000">
      <w:pPr>
        <w:pStyle w:val="BlockText"/>
      </w:pPr>
      <w:r>
        <w:t xml:space="preserve">By passive exposure […] we refer to situations in which foreign languages are present in the </w:t>
      </w:r>
      <w:proofErr w:type="gramStart"/>
      <w:r>
        <w:t>environment</w:t>
      </w:r>
      <w:proofErr w:type="gramEnd"/>
      <w:r>
        <w:t xml:space="preserve"> but the individual does not interact with these languages in any manner (e.g., by working with people who speak a different language and who often communicate between themselves in that language; by living in a neighbourhood with a high number of foreign language speakers). By passive use of languages, we refer to the intentional use of foreign languages in activities that involve some reading or listening but do not require speaking or writing. (p. 3)</w:t>
      </w:r>
    </w:p>
    <w:p w14:paraId="276119CD" w14:textId="77777777" w:rsidR="00846DAE" w:rsidRDefault="00000000">
      <w:pPr>
        <w:pStyle w:val="FirstParagraph"/>
      </w:pPr>
      <w:r>
        <w:t>The first half of the questionnaire, assessing known languages, used questionnaire items sourced directly from the Language History Questionnaire [LHQ3; P. Li et al. (2020)].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(dominant language(s) based on proficiency and usage). Measurement types include rating proficiency on a 7-point scale from 1 (“Very Poor”) to 7 (“Excellent”), reporting usage in various contexts as hours per day, and rating usage on a 7-point frequency scale from 1 (“Never”) to 7 (“All the time”).</w:t>
      </w:r>
    </w:p>
    <w:p w14:paraId="53279DA5" w14:textId="77777777" w:rsidR="00846DAE" w:rsidRDefault="00000000">
      <w:pPr>
        <w:pStyle w:val="BodyText"/>
      </w:pPr>
      <w:r>
        <w:t xml:space="preserve">The second half of the questionnaire, assessing regular exposure to both known and unknown languages, used questionnaire items primarily inspired by and modified from the Language Background Questionnaire (LBQ) used by Yow &amp; Li (Yow and Li 2015) and Li et al. </w:t>
      </w:r>
      <w:r>
        <w:lastRenderedPageBreak/>
        <w:t>(X. Li et al. 2021); additional modifications were inspired by the Language Experience and Proficiency Questionnaire [LEAP-Q; Marian, Blumenfeld, and Kaushanskaya (2007)] and the survey used by Castro et al. (Castro, Wodniecka, and Timmer 2022) to probe the degree of non-L1 language contact and exposure by monolinguals. The purpose of this portion of the questionnaire was to gauge the exposure to and use of linguistic diversity in ways that are typically not assessed, especially for “functional” 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14:paraId="31D7AA6B" w14:textId="77777777" w:rsidR="00846DAE" w:rsidRDefault="00000000">
      <w:pPr>
        <w:pStyle w:val="BodyText"/>
      </w:pPr>
      <w:r>
        <w:t xml:space="preserve">For these questionnaire items, participants were asked to estimate how many hours per day (while thinking of their typical week) they spend in 10 contexts, divided into two main categories of entertainment contexts and interpersonal contexts (see Table </w:t>
      </w:r>
      <w:hyperlink w:anchor="st1-ldq-contexts">
        <w:r>
          <w:fldChar w:fldCharType="begin"/>
        </w:r>
        <w:r>
          <w:instrText xml:space="preserve"> REF st1-ldq-contexts \h</w:instrText>
        </w:r>
        <w:r w:rsidR="001F3BE0">
          <w:fldChar w:fldCharType="separate"/>
        </w:r>
        <w:r w:rsidR="001F3BE0">
          <w:rPr>
            <w:b/>
            <w:noProof/>
          </w:rPr>
          <w:t>2</w:t>
        </w:r>
        <w:r>
          <w:fldChar w:fldCharType="end"/>
        </w:r>
      </w:hyperlink>
      <w:r>
        <w:t>). Then, for each context, participants were asked to list up to four languages they may use in that context, and the number of hours per language. The participant was prompted to include their L1(s), Ln(s), any additional languages learned (no matter their proficiency), and any languages they don’t know (based on the participant’s own judgement). The number of hours reported per language was not to exceed the number of hours per day listed for that context in the previous 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14:paraId="39B19ECB" w14:textId="77777777" w:rsidR="00846DAE" w:rsidRDefault="00000000" w:rsidP="001F3BE0">
      <w:pPr>
        <w:pStyle w:val="TableCaption"/>
      </w:pPr>
      <w:r>
        <w:rPr>
          <w:b/>
        </w:rPr>
        <w:lastRenderedPageBreak/>
        <w:t xml:space="preserve">Table </w:t>
      </w:r>
      <w:bookmarkStart w:id="14" w:name="st1-ldq-contexts"/>
      <w:r>
        <w:rPr>
          <w:b/>
        </w:rPr>
        <w:fldChar w:fldCharType="begin"/>
      </w:r>
      <w:r>
        <w:rPr>
          <w:b/>
        </w:rPr>
        <w:instrText>SEQ tab \* Arabic</w:instrText>
      </w:r>
      <w:r w:rsidR="001F3BE0">
        <w:rPr>
          <w:b/>
        </w:rPr>
        <w:fldChar w:fldCharType="separate"/>
      </w:r>
      <w:r w:rsidR="001F3BE0">
        <w:rPr>
          <w:b/>
          <w:noProof/>
        </w:rPr>
        <w:t>2</w:t>
      </w:r>
      <w:r>
        <w:rPr>
          <w:b/>
        </w:rPr>
        <w:fldChar w:fldCharType="end"/>
      </w:r>
      <w:bookmarkEnd w:id="14"/>
      <w:r>
        <w:rPr>
          <w:b/>
        </w:rPr>
        <w:t xml:space="preserve">: </w:t>
      </w:r>
      <w:r>
        <w:t>Categories of passive language use and exposure contexts queried in Part 2 of the Linguistic Diversity Questionnaire.</w:t>
      </w:r>
    </w:p>
    <w:tbl>
      <w:tblPr>
        <w:tblW w:w="0" w:type="pct"/>
        <w:jc w:val="center"/>
        <w:tblLook w:val="0420" w:firstRow="1" w:lastRow="0" w:firstColumn="0" w:lastColumn="0" w:noHBand="0" w:noVBand="1"/>
      </w:tblPr>
      <w:tblGrid>
        <w:gridCol w:w="2077"/>
        <w:gridCol w:w="5900"/>
        <w:gridCol w:w="1383"/>
      </w:tblGrid>
      <w:tr w:rsidR="00846DAE" w14:paraId="29BE8B23"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5960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F8906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8E32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 Label</w:t>
            </w:r>
          </w:p>
        </w:tc>
      </w:tr>
      <w:tr w:rsidR="00846DAE" w14:paraId="625800DB"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DEC73E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Entertainment contexts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26B1D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 TV, film, videos on websites like YouTube or Twitch (with or without subtitles)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807D6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w:t>
            </w:r>
          </w:p>
        </w:tc>
      </w:tr>
      <w:tr w:rsidR="00846DAE" w14:paraId="74F7E6BB"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525B7FC"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1023F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 to radio, music, podcasts, audiobooks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41EB9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w:t>
            </w:r>
          </w:p>
        </w:tc>
      </w:tr>
      <w:tr w:rsidR="00846DAE" w14:paraId="17D6093A"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55B7CD5"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D0DC9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Playing video games, mobile games, online games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AC0F5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Games</w:t>
            </w:r>
          </w:p>
        </w:tc>
      </w:tr>
      <w:tr w:rsidR="00846DAE" w14:paraId="5E233C71"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2CC785"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EEFDC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Using social media or browsing the internet, (with or without the use of automatic translation tools) </w:t>
            </w:r>
            <w:r>
              <w:rPr>
                <w:rFonts w:eastAsia="MS Mincho" w:hAnsi="Helvetica" w:cs="Helvetica"/>
                <w:color w:val="000000"/>
                <w:sz w:val="22"/>
                <w:szCs w:val="22"/>
              </w:rPr>
              <w:t>–</w:t>
            </w:r>
            <w:r>
              <w:rPr>
                <w:rFonts w:eastAsia="MS Mincho" w:hAnsi="Helvetica" w:cs="Helvetica"/>
                <w:color w:val="000000"/>
                <w:sz w:val="22"/>
                <w:szCs w:val="22"/>
              </w:rPr>
              <w:t xml:space="preserve"> include here interacting with generative AI and using language learning apps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8B7C1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Online</w:t>
            </w:r>
          </w:p>
        </w:tc>
      </w:tr>
      <w:tr w:rsidR="00846DAE" w14:paraId="5D6A7B21"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8D2919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Interpersonal contexts (in person or digitally)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28463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At home (e.g., with your partner, child(ren), roommates)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1994B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Home</w:t>
            </w:r>
          </w:p>
        </w:tc>
      </w:tr>
      <w:tr w:rsidR="00846DAE" w14:paraId="1E77077F"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02949A"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0BBC3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With family (parents, siblings, grandparents, caregivers, extended family </w:t>
            </w:r>
            <w:r>
              <w:rPr>
                <w:rFonts w:eastAsia="MS Mincho" w:hAnsi="Helvetica" w:cs="Helvetica"/>
                <w:color w:val="000000"/>
                <w:sz w:val="22"/>
                <w:szCs w:val="22"/>
              </w:rPr>
              <w:t>–</w:t>
            </w:r>
            <w:r>
              <w:rPr>
                <w:rFonts w:eastAsia="MS Mincho" w:hAnsi="Helvetica" w:cs="Helvetica"/>
                <w:color w:val="000000"/>
                <w:sz w:val="22"/>
                <w:szCs w:val="22"/>
              </w:rPr>
              <w:t xml:space="preserve"> </w:t>
            </w:r>
            <w:proofErr w:type="gramStart"/>
            <w:r>
              <w:rPr>
                <w:rFonts w:eastAsia="MS Mincho" w:hAnsi="Helvetica" w:cs="Helvetica"/>
                <w:color w:val="000000"/>
                <w:sz w:val="22"/>
                <w:szCs w:val="22"/>
              </w:rPr>
              <w:t>note:</w:t>
            </w:r>
            <w:proofErr w:type="gramEnd"/>
            <w:r>
              <w:rPr>
                <w:rFonts w:eastAsia="MS Mincho" w:hAnsi="Helvetica" w:cs="Helvetica"/>
                <w:color w:val="000000"/>
                <w:sz w:val="22"/>
                <w:szCs w:val="22"/>
              </w:rPr>
              <w:t xml:space="preserve"> this may be the same as the context above for you)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3FCBB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Family</w:t>
            </w:r>
          </w:p>
        </w:tc>
      </w:tr>
      <w:tr w:rsidR="00846DAE" w14:paraId="261C0A59"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76748B6"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5D43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social contexts with friends, neighbors, peers from hobbies or communities (e.g., religious community, neighborhood coalition, online community)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E37C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Social</w:t>
            </w:r>
          </w:p>
        </w:tc>
      </w:tr>
      <w:tr w:rsidR="00846DAE" w14:paraId="0D6A5523"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C5AE35"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B8F1B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work or school contexts with co-workers/colleagues/classmates (this context can include taking language classes)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1E81E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Work/school</w:t>
            </w:r>
          </w:p>
        </w:tc>
      </w:tr>
      <w:tr w:rsidR="00846DAE" w14:paraId="26A1C3ED"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350C780"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0264A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 in commercial or official contexts (e.g., restaurants, stores, doctor</w:t>
            </w:r>
            <w:r>
              <w:rPr>
                <w:rFonts w:eastAsia="MS Mincho" w:hAnsi="Helvetica" w:cs="Helvetica"/>
                <w:color w:val="000000"/>
                <w:sz w:val="22"/>
                <w:szCs w:val="22"/>
              </w:rPr>
              <w:t>’</w:t>
            </w:r>
            <w:r>
              <w:rPr>
                <w:rFonts w:eastAsia="MS Mincho" w:hAnsi="Helvetica" w:cs="Helvetica"/>
                <w:color w:val="000000"/>
                <w:sz w:val="22"/>
                <w:szCs w:val="22"/>
              </w:rPr>
              <w:t>s office, bank)</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DC046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w:t>
            </w:r>
          </w:p>
        </w:tc>
      </w:tr>
      <w:tr w:rsidR="00846DAE" w14:paraId="04B03F6D"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E6332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None of these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44AFF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Situations and settings not listed above. Please specify: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1F5FF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Other</w:t>
            </w:r>
          </w:p>
        </w:tc>
      </w:tr>
      <w:tr w:rsidR="00846DAE" w14:paraId="10E4F171" w14:textId="77777777">
        <w:trPr>
          <w:cantSplit/>
          <w:jc w:val="center"/>
        </w:trPr>
        <w:tc>
          <w:tcPr>
            <w:tcW w:w="0" w:type="auto"/>
            <w:gridSpan w:val="3"/>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7DE5C7"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A0F2FFA" w14:textId="77777777" w:rsidR="00846DAE" w:rsidRDefault="00000000">
      <w:pPr>
        <w:pStyle w:val="Heading4"/>
      </w:pPr>
      <w:bookmarkStart w:id="15" w:name="st1-ldq-prep"/>
      <w:bookmarkEnd w:id="13"/>
      <w:r>
        <w:t>LDQ data preprocessing</w:t>
      </w:r>
    </w:p>
    <w:p w14:paraId="73B05EF0" w14:textId="77777777" w:rsidR="00846DAE" w:rsidRDefault="00000000">
      <w:pPr>
        <w:pStyle w:val="FirstParagraph"/>
      </w:pPr>
      <w:r>
        <w:t xml:space="preserve">Experiential linguistic diversity was calculated as two indices based on the two factors of </w:t>
      </w:r>
      <w:r>
        <w:rPr>
          <w:i/>
          <w:iCs/>
        </w:rPr>
        <w:t>active</w:t>
      </w:r>
      <w:r>
        <w:t xml:space="preserve"> use of and exposure to known languages and </w:t>
      </w:r>
      <w:r>
        <w:rPr>
          <w:i/>
          <w:iCs/>
        </w:rPr>
        <w:t>passive</w:t>
      </w:r>
      <w:r>
        <w:t xml:space="preserve"> use of and exposure to known and unknown languages as measured by the linguistic diversity questionnaire.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(de Bruin 2019; Castro, Wodniecka, and Timmer 2022; DeLuca et al. 2019; Gullifer et al. 2021; Kałamała et al. 2023; Kałamała, </w:t>
      </w:r>
      <w:r>
        <w:lastRenderedPageBreak/>
        <w:t>Senderecka, and Wodniecka 2022; Kremin and Byers-Heinlein 2021; Luk and Bialystok 2013; Luk 2015; Surrain and Luk 2019; Titone and Tiv 2023).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 (Marian and Hayakawa 2021). However, because linguistic diversity is a predictor variable in the primary analyses being conducted, believe that quantification by way of a continuous measure is the most appropriate method. Specifically, I calculated a continuous measure of multilingualism called language entropy (Gullifer and Titone 2020), a form of Shannon entropy (Shannon 1948), that was devised to measure the diversity and balance of language use in everyday contexts. Language entropy has been used to explain individual differences in the degree to which multilingualism affects cognitive behaviors in a gradient manner (van den Berg et al. 2022; DeLuca et al. 2019; Gullifer et al. 2018; Gullifer et al. 2021; Kepinska et al. 2023; X. Li et al. 2021; Sulpizio et al. 2020; Wagner, Bekas, and Bialystok 2023).</w:t>
      </w:r>
    </w:p>
    <w:p w14:paraId="50370437" w14:textId="77777777" w:rsidR="00846DAE" w:rsidRDefault="00000000">
      <w:pPr>
        <w:pStyle w:val="BodyText"/>
      </w:pPr>
      <w:r>
        <w:t xml:space="preserve">For active use of and exposure to known languages, a measure of Multilingual Language Diversity (MLD) was calculated according to the aggregate score calculation conventions used by the LHQ3 (P. Li et al. 2020): </w:t>
      </w:r>
      <m:oMath>
        <m:r>
          <w:rPr>
            <w:rFonts w:ascii="Cambria Math" w:hAnsi="Cambria Math"/>
          </w:rPr>
          <m:t>MLD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oMath>
      <w:r>
        <w:t>. The MLD score is a modified form of language entropy (Gullifer and Titone 2020) that is calculated from the LHQ3 aggregated score of proportion of dominance (</w:t>
      </w:r>
      <w:r>
        <w:rPr>
          <w:i/>
          <w:iCs/>
        </w:rPr>
        <w:t>PD</w:t>
      </w:r>
      <w:r>
        <w:rPr>
          <w:i/>
          <w:iCs/>
          <w:vertAlign w:val="subscript"/>
        </w:rPr>
        <w:t>i</w:t>
      </w:r>
      <w:r>
        <w:t xml:space="preserve">) for each </w:t>
      </w:r>
      <w:r>
        <w:rPr>
          <w:i/>
          <w:iCs/>
        </w:rPr>
        <w:t>i</w:t>
      </w:r>
      <w:r>
        <w:t xml:space="preserve">-th language. </w:t>
      </w:r>
      <w:r>
        <w:rPr>
          <w:i/>
          <w:iCs/>
        </w:rPr>
        <w:t>PD</w:t>
      </w:r>
      <w:r>
        <w:rPr>
          <w:i/>
          <w:iCs/>
          <w:vertAlign w:val="subscript"/>
        </w:rPr>
        <w:t>i</w:t>
      </w:r>
      <w:r>
        <w:t xml:space="preserve"> is calculated from language dominance (Equation 3 of P. Li et al. 2020), which itself is an aggregated score combining self-</w:t>
      </w:r>
      <w:r>
        <w:lastRenderedPageBreak/>
        <w:t>reported language proficiency (Equation 1 of P. Li et al. 2020) and language usage reported in hours of use per day in different contexts.</w:t>
      </w:r>
    </w:p>
    <w:p w14:paraId="69A98287" w14:textId="77777777" w:rsidR="00846DAE" w:rsidRDefault="00000000">
      <w:pPr>
        <w:pStyle w:val="BodyText"/>
      </w:pPr>
      <w:r>
        <w:t xml:space="preserve">The range of values for language entropy using the standard equation from Gullifer &amp; Titone (Gullifer and Titone 2020) is 0 to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where </w:t>
      </w:r>
      <w:r>
        <w:rPr>
          <w:i/>
          <w:iCs/>
        </w:rPr>
        <w:t>n</w:t>
      </w:r>
      <w:r>
        <w:t xml:space="preserve"> represents the total number of languages reported. Complete usage of one language means that maximum language entropy (</w:t>
      </w:r>
      <w:r>
        <w:rPr>
          <w:i/>
          <w:iCs/>
        </w:rPr>
        <w:t>H</w:t>
      </w:r>
      <w:r>
        <w:t xml:space="preserve">) is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0</m:t>
        </m:r>
      </m:oMath>
      <w:r>
        <w:t xml:space="preserve">, equal usage of two languages means maximum </w:t>
      </w:r>
      <m:oMath>
        <m:sSub>
          <m:sSubPr>
            <m:ctrlPr>
              <w:rPr>
                <w:rFonts w:ascii="Cambria Math" w:hAnsi="Cambria Math"/>
              </w:rPr>
            </m:ctrlPr>
          </m:sSubPr>
          <m:e>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log</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1</m:t>
        </m:r>
      </m:oMath>
      <w:r>
        <w:t xml:space="preserve">, and equal usage of three languages means maximum </w:t>
      </w:r>
      <m:oMath>
        <m:sSub>
          <m:sSubPr>
            <m:ctrlPr>
              <w:rPr>
                <w:rFonts w:ascii="Cambria Math" w:hAnsi="Cambria Math"/>
              </w:rPr>
            </m:ctrlPr>
          </m:sSubPr>
          <m:e>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log</m:t>
            </m:r>
          </m:e>
          <m:sub>
            <m:r>
              <w:rPr>
                <w:rFonts w:ascii="Cambria Math" w:hAnsi="Cambria Math"/>
              </w:rPr>
              <m:t>2</m:t>
            </m:r>
          </m:sub>
        </m:sSub>
        <m:r>
          <w:rPr>
            <w:rFonts w:ascii="Cambria Math" w:hAnsi="Cambria Math"/>
          </w:rPr>
          <m:t>3</m:t>
        </m:r>
        <m:r>
          <m:rPr>
            <m:sty m:val="p"/>
          </m:rPr>
          <w:rPr>
            <w:rFonts w:ascii="Cambria Math" w:hAnsi="Cambria Math"/>
          </w:rPr>
          <m:t>≈</m:t>
        </m:r>
        <m:r>
          <w:rPr>
            <w:rFonts w:ascii="Cambria Math" w:hAnsi="Cambria Math"/>
          </w:rPr>
          <m:t>1.58</m:t>
        </m:r>
      </m:oMath>
      <w:r>
        <w:t xml:space="preserve">. Using the LHQ3, participants can report use of up to four languages, which means that the range of MLD scores across participants is from 0 to 2 given that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One MLD score for active language use and exposure (MLD-A) was calculated for each participant. For a detailed breakdown of the equations used to calculate MLD-A and sample calculations, see Appendix.</w:t>
      </w:r>
    </w:p>
    <w:p w14:paraId="27015900" w14:textId="77777777" w:rsidR="00846DAE" w:rsidRDefault="00000000">
      <w:pPr>
        <w:pStyle w:val="BodyText"/>
      </w:pPr>
      <w:r>
        <w:t>[THE MATH IN THE BELOW PARAGRAPH NEEDS UPDATING]</w:t>
      </w:r>
    </w:p>
    <w:p w14:paraId="79C01450" w14:textId="77777777" w:rsidR="00846DAE" w:rsidRDefault="00000000">
      <w:pPr>
        <w:pStyle w:val="BodyText"/>
      </w:pPr>
      <w:r>
        <w:t xml:space="preserve">For passive use of and exposure to both known and unknown languages, a modified measure of language entropy was similarly calculated. Language entropy was calculated separately for each context using the standard language entropy equation (Gullifer and Titone 2020): </w:t>
      </w: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ic</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ic</m:t>
                    </m:r>
                  </m:sub>
                </m:sSub>
              </m:e>
            </m:d>
          </m:e>
        </m:nary>
      </m:oMath>
      <w:r>
        <w:t xml:space="preserve">, where </w:t>
      </w:r>
      <w:r>
        <w:rPr>
          <w:i/>
          <w:iCs/>
        </w:rPr>
        <w:t>n</w:t>
      </w:r>
      <w:r>
        <w:t xml:space="preserve"> is the number of languages reported and </w:t>
      </w:r>
      <w:r>
        <w:rPr>
          <w:i/>
          <w:iCs/>
        </w:rPr>
        <w:t>P</w:t>
      </w:r>
      <w:r>
        <w:rPr>
          <w:i/>
          <w:iCs/>
          <w:vertAlign w:val="subscript"/>
        </w:rPr>
        <w:t>ic</w:t>
      </w:r>
      <w:r>
        <w:t xml:space="preserve"> is the proportion of language usage/exposure for language </w:t>
      </w:r>
      <w:r>
        <w:rPr>
          <w:i/>
          <w:iCs/>
        </w:rPr>
        <w:t>i</w:t>
      </w:r>
      <w:r>
        <w:t xml:space="preserve"> of context </w:t>
      </w:r>
      <w:r>
        <w:rPr>
          <w:i/>
          <w:iCs/>
        </w:rPr>
        <w:t>c</w:t>
      </w:r>
      <w:r>
        <w:t xml:space="preserve">. </w:t>
      </w:r>
      <w:r>
        <w:rPr>
          <w:i/>
          <w:iCs/>
        </w:rPr>
        <w:t>P</w:t>
      </w:r>
      <w:r>
        <w:rPr>
          <w:i/>
          <w:iCs/>
          <w:vertAlign w:val="subscript"/>
        </w:rPr>
        <w:t>ic</w:t>
      </w:r>
      <w:r>
        <w:t xml:space="preserve"> is calculated as </w:t>
      </w:r>
      <m:oMath>
        <m:sSub>
          <m:sSubPr>
            <m:ctrlPr>
              <w:rPr>
                <w:rFonts w:ascii="Cambria Math" w:hAnsi="Cambria Math"/>
              </w:rPr>
            </m:ctrlPr>
          </m:sSubPr>
          <m:e>
            <m:r>
              <w:rPr>
                <w:rFonts w:ascii="Cambria Math" w:hAnsi="Cambria Math"/>
              </w:rPr>
              <m:t>P</m:t>
            </m:r>
          </m:e>
          <m:sub>
            <m:r>
              <w:rPr>
                <w:rFonts w:ascii="Cambria Math" w:hAnsi="Cambria Math"/>
              </w:rPr>
              <m:t>ic</m:t>
            </m:r>
          </m:sub>
        </m:sSub>
        <m:r>
          <m:rPr>
            <m:sty m:val="p"/>
          </m:rPr>
          <w:rPr>
            <w:rFonts w:ascii="Cambria Math" w:hAnsi="Cambria Math"/>
          </w:rPr>
          <m:t>=</m:t>
        </m:r>
        <m:r>
          <w:rPr>
            <w:rFonts w:ascii="Cambria Math" w:hAnsi="Cambria Math"/>
          </w:rPr>
          <m:t>languagehour</m:t>
        </m:r>
        <m:sSub>
          <m:sSubPr>
            <m:ctrlPr>
              <w:rPr>
                <w:rFonts w:ascii="Cambria Math" w:hAnsi="Cambria Math"/>
              </w:rPr>
            </m:ctrlPr>
          </m:sSubPr>
          <m:e>
            <m:r>
              <w:rPr>
                <w:rFonts w:ascii="Cambria Math" w:hAnsi="Cambria Math"/>
              </w:rPr>
              <m:t>s</m:t>
            </m:r>
          </m:e>
          <m:sub>
            <m:r>
              <w:rPr>
                <w:rFonts w:ascii="Cambria Math" w:hAnsi="Cambria Math"/>
              </w:rPr>
              <m:t>ic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l</m:t>
            </m:r>
          </m:e>
        </m:nary>
        <m:r>
          <w:rPr>
            <w:rFonts w:ascii="Cambria Math" w:hAnsi="Cambria Math"/>
          </w:rPr>
          <m:t>anguagehour</m:t>
        </m:r>
        <m:sSub>
          <m:sSubPr>
            <m:ctrlPr>
              <w:rPr>
                <w:rFonts w:ascii="Cambria Math" w:hAnsi="Cambria Math"/>
              </w:rPr>
            </m:ctrlPr>
          </m:sSubPr>
          <m:e>
            <m:r>
              <w:rPr>
                <w:rFonts w:ascii="Cambria Math" w:hAnsi="Cambria Math"/>
              </w:rPr>
              <m:t>s</m:t>
            </m:r>
          </m:e>
          <m:sub>
            <m:r>
              <w:rPr>
                <w:rFonts w:ascii="Cambria Math" w:hAnsi="Cambria Math"/>
              </w:rPr>
              <m:t>ic</m:t>
            </m:r>
          </m:sub>
        </m:sSub>
      </m:oMath>
      <w:r>
        <w:t xml:space="preserve">  This resulted in 10 entropy values per participant. Following Li et al., </w:t>
      </w:r>
      <w:r>
        <w:lastRenderedPageBreak/>
        <w:t xml:space="preserve">(X. Li et al. 2021), to aggregate the entropy values and account for individual differences in time spent across different contexts, the aggregated score was computed as weighted language entropy, weighted by the proportion of time spent in a week for each context, using the following equation: </w:t>
      </w: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10</m:t>
            </m:r>
          </m:sup>
          <m:e>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e>
        </m:nary>
      </m:oMath>
      <w:r>
        <w:t xml:space="preserve">, where </w:t>
      </w:r>
      <w:r>
        <w:rPr>
          <w:i/>
          <w:iCs/>
        </w:rPr>
        <w:t>T</w:t>
      </w:r>
      <w:r>
        <w:rPr>
          <w:i/>
          <w:iCs/>
          <w:vertAlign w:val="subscript"/>
        </w:rPr>
        <w:t>c</w:t>
      </w:r>
      <w:r>
        <w:t xml:space="preserve"> is the proportion of time spent in each context, converted from the reported percentage, and </w:t>
      </w:r>
      <w:r>
        <w:rPr>
          <w:i/>
          <w:iCs/>
        </w:rPr>
        <w:t>H</w:t>
      </w:r>
      <w:r>
        <w:rPr>
          <w:i/>
          <w:iCs/>
          <w:vertAlign w:val="subscript"/>
        </w:rPr>
        <w:t>c</w:t>
      </w:r>
      <w:r>
        <w:t xml:space="preserve"> is the calculated language entropy for the given context. The weighted entropy value represents the Multilingual Diversity Score for passive language use and exposure (MLD-P). One MLD-P score was calculated per participant. For a detailed breakdown of the equations used to calculate MLD-P and examples, see Appendix/supplementary material.</w:t>
      </w:r>
    </w:p>
    <w:p w14:paraId="58D82D8F" w14:textId="77777777" w:rsidR="00846DAE" w:rsidRDefault="00000000">
      <w:pPr>
        <w:pStyle w:val="BodyText"/>
      </w:pPr>
      <w:r>
        <w:t>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from measures of the validated LHQ3 and remains consistent with previous gradient measures of multilingualism as assessed through language entropy (Gullifer et al. 2018; Gullifer et al. 2021).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14:paraId="7858A162" w14:textId="77777777" w:rsidR="00846DAE" w:rsidRDefault="00000000">
      <w:pPr>
        <w:pStyle w:val="BodyText"/>
      </w:pPr>
      <w:r>
        <w:t>Although 100 participants took part in the study, two participants did not finish the LDQ. An additional 22 participants did not provide usable answers to the questionnaire, and thus MLD-</w:t>
      </w:r>
      <w:r>
        <w:lastRenderedPageBreak/>
        <w:t>A and/or MLD-P scores could not be calculated with their given responses</w:t>
      </w:r>
      <w:r>
        <w:rPr>
          <w:rStyle w:val="FootnoteReference"/>
        </w:rPr>
        <w:footnoteReference w:id="1"/>
      </w:r>
      <w:r>
        <w:t>. These 24 participants were excluded from the data analysis.</w:t>
      </w:r>
    </w:p>
    <w:p w14:paraId="7B343604" w14:textId="77777777" w:rsidR="00846DAE" w:rsidRDefault="00000000">
      <w:pPr>
        <w:pStyle w:val="Heading2"/>
      </w:pPr>
      <w:bookmarkStart w:id="16" w:name="st1-results"/>
      <w:bookmarkEnd w:id="1"/>
      <w:bookmarkEnd w:id="12"/>
      <w:bookmarkEnd w:id="15"/>
      <w:r>
        <w:t>Analysis and Results</w:t>
      </w:r>
    </w:p>
    <w:p w14:paraId="1D093C9A" w14:textId="77777777" w:rsidR="00846DAE" w:rsidRDefault="00000000">
      <w:pPr>
        <w:pStyle w:val="Heading3"/>
      </w:pPr>
      <w:bookmarkStart w:id="17" w:name="st1-analysis"/>
      <w:r>
        <w:t>Analysis and predictions</w:t>
      </w:r>
    </w:p>
    <w:p w14:paraId="0666B13F" w14:textId="77777777" w:rsidR="00846DAE" w:rsidRDefault="00000000">
      <w:pPr>
        <w:pStyle w:val="FirstParagraph"/>
      </w:pPr>
      <w:r>
        <w:t>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 Kutlu et al. (2024), which showed that higher degrees of linguistic diversity in children’s social networks led to higher degrees of gradient speech categorization.</w:t>
      </w:r>
    </w:p>
    <w:p w14:paraId="2CAA7470" w14:textId="77777777" w:rsidR="00846DAE" w:rsidRDefault="00000000">
      <w:pPr>
        <w:pStyle w:val="BodyText"/>
      </w:pPr>
      <w:r>
        <w:t xml:space="preserve">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heterogenous group based on continuous variables and is being increasingly used in learning research for its person-centered modeling approach (Hickendorff et al. 2018).The LPA from Kutlu et al. (2024) successfully supported their hypothesis of three underlying profiles of children based on slope and response variability: categorical (high slope, low variability), gradient (low slope, low variability), or noisy (low slope, high variability). The LPA model predicted posterior probabilities that </w:t>
      </w:r>
      <w:r>
        <w:lastRenderedPageBreak/>
        <w:t>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14:paraId="2241A928" w14:textId="77777777" w:rsidR="00846DAE" w:rsidRDefault="00000000">
      <w:pPr>
        <w:pStyle w:val="BodyText"/>
      </w:pPr>
      <w:r>
        <w:t xml:space="preserve">However, my data did not turn out to be suitable to fit an LPA model with the three hypothesized. Figure </w:t>
      </w:r>
      <w:hyperlink w:anchor="st1-lpa-compare">
        <w:r>
          <w:fldChar w:fldCharType="begin"/>
        </w:r>
        <w:r>
          <w:instrText xml:space="preserve"> REF st1-lpa-compare \h</w:instrText>
        </w:r>
        <w:r w:rsidR="001F3BE0">
          <w:fldChar w:fldCharType="separate"/>
        </w:r>
        <w:r w:rsidR="001F3BE0">
          <w:rPr>
            <w:b/>
            <w:noProof/>
          </w:rPr>
          <w:t>5</w:t>
        </w:r>
        <w:r>
          <w:fldChar w:fldCharType="end"/>
        </w:r>
      </w:hyperlink>
      <w:r>
        <w:t xml:space="preserve"> compares the data plotted on the two-dimensional space of response variability and VAS slope for the sample collected by Kutlu et al. (2024) (left) and the Study 1 sample for each language (center and right). For the Kutlu et al. (2024) 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 (Sorensen et al. 2024), as opposed to the use of the Nonlinear Curvefitting program here, which is does not use Bayesian modeling. Given these two differences, it was hypothesized that the non-Bayesian nature of the Nonlinear Curvefitting estimates did not work well with the LPA modeling procedure (E. Kutlu, personal communication, May 12, 2025).</w:t>
      </w:r>
    </w:p>
    <w:p w14:paraId="4C032D69" w14:textId="77777777" w:rsidR="00846DAE" w:rsidRDefault="00000000">
      <w:pPr>
        <w:pStyle w:val="Figure"/>
        <w:jc w:val="center"/>
      </w:pPr>
      <w:r>
        <w:rPr>
          <w:noProof/>
        </w:rPr>
        <w:lastRenderedPageBreak/>
        <w:drawing>
          <wp:inline distT="0" distB="0" distL="0" distR="0" wp14:anchorId="18CA163D" wp14:editId="1BC3DB1C">
            <wp:extent cx="45720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63500" cy="50800"/>
                    </a:xfrm>
                    <a:prstGeom prst="rect">
                      <a:avLst/>
                    </a:prstGeom>
                    <a:noFill/>
                  </pic:spPr>
                </pic:pic>
              </a:graphicData>
            </a:graphic>
          </wp:inline>
        </w:drawing>
      </w:r>
    </w:p>
    <w:p w14:paraId="30F1F2BB" w14:textId="77777777" w:rsidR="00846DAE" w:rsidRDefault="00000000">
      <w:pPr>
        <w:pStyle w:val="ImageCaption"/>
      </w:pPr>
      <w:r>
        <w:rPr>
          <w:b/>
        </w:rPr>
        <w:t xml:space="preserve">Figure </w:t>
      </w:r>
      <w:bookmarkStart w:id="18" w:name="st1-lpa-compare"/>
      <w:r>
        <w:rPr>
          <w:b/>
        </w:rPr>
        <w:fldChar w:fldCharType="begin"/>
      </w:r>
      <w:r>
        <w:rPr>
          <w:b/>
        </w:rPr>
        <w:instrText>SEQ fig \* Arabic</w:instrText>
      </w:r>
      <w:r w:rsidR="001F3BE0">
        <w:rPr>
          <w:b/>
        </w:rPr>
        <w:fldChar w:fldCharType="separate"/>
      </w:r>
      <w:r w:rsidR="001F3BE0">
        <w:rPr>
          <w:b/>
          <w:noProof/>
        </w:rPr>
        <w:t>5</w:t>
      </w:r>
      <w:r>
        <w:rPr>
          <w:b/>
        </w:rPr>
        <w:fldChar w:fldCharType="end"/>
      </w:r>
      <w:bookmarkEnd w:id="18"/>
      <w:r>
        <w:rPr>
          <w:b/>
        </w:rPr>
        <w:t xml:space="preserve">: </w:t>
      </w:r>
      <w: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analyses discussed below. The slope and variances for the sample of the present study were log-transformed and centered on the sample mean in order to better match the visualization of the Kutlu et al. (2024) sample. Note also the differences in range of the axes between the two samples.</w:t>
      </w:r>
    </w:p>
    <w:p w14:paraId="4CF9C4C1" w14:textId="77777777" w:rsidR="00846DAE" w:rsidRDefault="00000000">
      <w:pPr>
        <w:pStyle w:val="BodyText"/>
      </w:pPr>
      <w:r>
        <w:t xml:space="preserve">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variability are still both used as proxy measures for gradiency, just as separate variables. This </w:t>
      </w:r>
      <w:r>
        <w:lastRenderedPageBreak/>
        <w:t>updated research question reduces the emphasis on the hypotheses regarding directionality for the effects of language (L1 vs. L2) on gradiency or secondary cue use.</w:t>
      </w:r>
    </w:p>
    <w:p w14:paraId="24FDEB45" w14:textId="77777777" w:rsidR="00846DAE" w:rsidRDefault="00000000">
      <w:pPr>
        <w:pStyle w:val="BodyText"/>
      </w:pPr>
      <w:r>
        <w:t xml:space="preserve">To answer the first part of the question, I fit a multivariate mixed-effects (i.e. repeated measures) regression model to examine the effects of experiential linguistic diversity and contrast language on gradiency and secondary cue use. The model was fit using the </w:t>
      </w:r>
      <w:r>
        <w:rPr>
          <w:i/>
          <w:iCs/>
        </w:rPr>
        <w:t>brms</w:t>
      </w:r>
      <w:r>
        <w:t xml:space="preserve"> R package (Bürkner 2017). MLD-A, MLD-P, and language (L1 English vs. L1 Japanese) were used as predictor variables for the responses of VAS slope, response variability, and theta.</w:t>
      </w:r>
    </w:p>
    <w:p w14:paraId="3C3770A9" w14:textId="77777777" w:rsidR="00846DAE" w:rsidRDefault="00000000">
      <w:pPr>
        <w:pStyle w:val="BodyText"/>
      </w:pPr>
      <w:r>
        <w:t>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 (Hui 2018).</w:t>
      </w:r>
    </w:p>
    <w:p w14:paraId="35E9DEE2" w14:textId="77777777" w:rsidR="00846DAE" w:rsidRDefault="00000000">
      <w:pPr>
        <w:pStyle w:val="BodyText"/>
      </w:pPr>
      <w:r>
        <w:t xml:space="preserve">I first fit a series of multivariate models to identify the most parsimonious set of predictor variable specifications on the outcome variables of VAS Slope, Response Variability, Theta. The first model </w:t>
      </w:r>
      <w:r>
        <w:rPr>
          <w:rStyle w:val="VerbatimChar"/>
        </w:rPr>
        <w:t>brm.fit.1</w:t>
      </w:r>
      <w:r>
        <w:t xml:space="preserve"> included MLD-A and MLD-P, their interactions with binary indicators of non-zero MLD scores (1 for scores above 0, and 0 for scores of 0), and interactions with language, a categorical within-subjects variable with the levels of English (L1; reference-level) and Japanese (L2). The model </w:t>
      </w:r>
      <w:r>
        <w:rPr>
          <w:rStyle w:val="VerbatimChar"/>
        </w:rPr>
        <w:t>brm.fit.2</w:t>
      </w:r>
      <w:r>
        <w:t xml:space="preserve"> specified these predictor variables without the interactions, and </w:t>
      </w:r>
      <w:r>
        <w:rPr>
          <w:rStyle w:val="VerbatimChar"/>
        </w:rPr>
        <w:t>brm.fit.3</w:t>
      </w:r>
      <w:r>
        <w:t xml:space="preserve"> specified interactions between each of the MLD scores and language without the binary indicators.</w:t>
      </w:r>
    </w:p>
    <w:p w14:paraId="6818559F" w14:textId="77777777" w:rsidR="00846DAE" w:rsidRDefault="00000000">
      <w:pPr>
        <w:pStyle w:val="BodyText"/>
      </w:pPr>
      <w:r>
        <w:lastRenderedPageBreak/>
        <w:t xml:space="preserve">Model fit was evaluated using leave-one-out cross-validation (Table </w:t>
      </w:r>
      <w:hyperlink w:anchor="st1-loo-compare">
        <w:r>
          <w:fldChar w:fldCharType="begin"/>
        </w:r>
        <w:r>
          <w:instrText xml:space="preserve"> REF st1-loo-compare \h</w:instrText>
        </w:r>
        <w:r w:rsidR="001F3BE0">
          <w:fldChar w:fldCharType="separate"/>
        </w:r>
        <w:r w:rsidR="001F3BE0">
          <w:rPr>
            <w:b/>
            <w:noProof/>
          </w:rPr>
          <w:t>3</w:t>
        </w:r>
        <w:r>
          <w:fldChar w:fldCharType="end"/>
        </w:r>
      </w:hyperlink>
      <w:r>
        <w:t xml:space="preserve">), such that the model with the best approximated predictive performance of the data is the one with the largest expected log predictive density (ELPD) value. The differences in ELPD across the models were minimal (&lt; 3), with </w:t>
      </w:r>
      <w:r>
        <w:rPr>
          <w:rStyle w:val="VerbatimChar"/>
        </w:rPr>
        <w:t>brm.fit.3</w:t>
      </w:r>
      <w:r>
        <w:t xml:space="preserve"> yielding the best ELPD but only marginally so. The ELPD difference between </w:t>
      </w:r>
      <w:r>
        <w:rPr>
          <w:rStyle w:val="VerbatimChar"/>
        </w:rPr>
        <w:t>brm.fit.1</w:t>
      </w:r>
      <w:r>
        <w:t xml:space="preserve"> and </w:t>
      </w:r>
      <w:r>
        <w:rPr>
          <w:rStyle w:val="VerbatimChar"/>
        </w:rPr>
        <w:t>brm.fit.3</w:t>
      </w:r>
      <w:r>
        <w:t xml:space="preserve"> (-0.1) is less than 2 * the standard error of the difference (0.4) and thus does not provide enough evidence to support that </w:t>
      </w:r>
      <w:r>
        <w:rPr>
          <w:rStyle w:val="VerbatimChar"/>
        </w:rPr>
        <w:t>brm.fit.3</w:t>
      </w:r>
      <w:r>
        <w:t xml:space="preserve"> is meaningfully better than </w:t>
      </w:r>
      <w:r>
        <w:rPr>
          <w:rStyle w:val="VerbatimChar"/>
        </w:rPr>
        <w:t>brm.fit.1</w:t>
      </w:r>
      <w:r>
        <w:t xml:space="preserve">. Given the relatively equal predictive performance between these two models, I chose to focus my interpretation on </w:t>
      </w:r>
      <w:r>
        <w:rPr>
          <w:rStyle w:val="VerbatimChar"/>
        </w:rPr>
        <w:t>brm.fit.3</w:t>
      </w:r>
      <w:r>
        <w:t xml:space="preserve">, which includes interaction terms between the two MLD scores and language and is </w:t>
      </w:r>
      <w:proofErr w:type="gramStart"/>
      <w:r>
        <w:t>more simple</w:t>
      </w:r>
      <w:proofErr w:type="gramEnd"/>
      <w:r>
        <w:t xml:space="preserve"> in interpretation compared to </w:t>
      </w:r>
      <w:r>
        <w:rPr>
          <w:rStyle w:val="VerbatimChar"/>
        </w:rPr>
        <w:t>brm.fit.1</w:t>
      </w:r>
      <w:r>
        <w:t xml:space="preserve">. It is noted that the interaction terms between the MLD scores and their binary indicators did not reach credible significance, and thus there is no interpretive value in discussing the effects of </w:t>
      </w:r>
      <w:r>
        <w:rPr>
          <w:rStyle w:val="VerbatimChar"/>
        </w:rPr>
        <w:t>brm.fit.1</w:t>
      </w:r>
      <w:r>
        <w:t xml:space="preserve"> over </w:t>
      </w:r>
      <w:r>
        <w:rPr>
          <w:rStyle w:val="VerbatimChar"/>
        </w:rPr>
        <w:t>brm.fit.3</w:t>
      </w:r>
      <w:r>
        <w:t xml:space="preserve">. The model also included subject-level random intercepts </w:t>
      </w:r>
      <w:r>
        <w:rPr>
          <w:rStyle w:val="VerbatimChar"/>
        </w:rPr>
        <w:t>ID</w:t>
      </w:r>
      <w:r>
        <w:t xml:space="preserve"> with by-subject random slopes , to capture any inherent differences between participants and allow the effects of language to vary by participant. Item-level intercepts for </w:t>
      </w:r>
      <w:r>
        <w:rPr>
          <w:rStyle w:val="VerbatimChar"/>
        </w:rPr>
        <w:t>pair</w:t>
      </w:r>
      <w:r>
        <w:t xml:space="preserve"> were also included to capture any inherent differences between the chosen contrast pairs. Estimates of the model parameters, including the random effects, fit of the model, and residual correlation between the response variables, are presented below in Section </w:t>
      </w:r>
      <w:hyperlink w:anchor="st1-multivariate-outcomes">
        <w:r>
          <w:fldChar w:fldCharType="begin"/>
        </w:r>
        <w:r>
          <w:instrText xml:space="preserve"> REF st1-multivariate-outcomes \h \r</w:instrText>
        </w:r>
        <w:r w:rsidR="001F3BE0">
          <w:fldChar w:fldCharType="separate"/>
        </w:r>
        <w:r w:rsidR="001F3BE0">
          <w:t>1.2.3</w:t>
        </w:r>
        <w:r>
          <w:fldChar w:fldCharType="end"/>
        </w:r>
      </w:hyperlink>
      <w:r>
        <w:t>.</w:t>
      </w:r>
    </w:p>
    <w:p w14:paraId="0899A695" w14:textId="77777777" w:rsidR="00846DAE" w:rsidRDefault="00000000" w:rsidP="001F3BE0">
      <w:pPr>
        <w:pStyle w:val="TableCaption"/>
      </w:pPr>
      <w:r>
        <w:rPr>
          <w:b/>
        </w:rPr>
        <w:t xml:space="preserve">Table </w:t>
      </w:r>
      <w:bookmarkStart w:id="19" w:name="st1-loo-compare"/>
      <w:r>
        <w:rPr>
          <w:b/>
        </w:rPr>
        <w:fldChar w:fldCharType="begin"/>
      </w:r>
      <w:r>
        <w:rPr>
          <w:b/>
        </w:rPr>
        <w:instrText>SEQ tab \* Arabic</w:instrText>
      </w:r>
      <w:r w:rsidR="001F3BE0">
        <w:rPr>
          <w:b/>
        </w:rPr>
        <w:fldChar w:fldCharType="separate"/>
      </w:r>
      <w:r w:rsidR="001F3BE0">
        <w:rPr>
          <w:b/>
          <w:noProof/>
        </w:rPr>
        <w:t>3</w:t>
      </w:r>
      <w:r>
        <w:rPr>
          <w:b/>
        </w:rPr>
        <w:fldChar w:fldCharType="end"/>
      </w:r>
      <w:bookmarkEnd w:id="19"/>
      <w:r>
        <w:rPr>
          <w:b/>
        </w:rPr>
        <w:t xml:space="preserve">: </w:t>
      </w:r>
      <w:r>
        <w:t>Multivariate model comparison using expected log predictive density (ELPD) and standard error (SE) of ELPD difference (Δ). The model `brm.fit.3` was used in the analyses.</w:t>
      </w:r>
    </w:p>
    <w:tbl>
      <w:tblPr>
        <w:tblW w:w="0" w:type="pct"/>
        <w:jc w:val="center"/>
        <w:tblLook w:val="0420" w:firstRow="1" w:lastRow="0" w:firstColumn="0" w:lastColumn="0" w:noHBand="0" w:noVBand="1"/>
      </w:tblPr>
      <w:tblGrid>
        <w:gridCol w:w="1031"/>
        <w:gridCol w:w="825"/>
        <w:gridCol w:w="844"/>
        <w:gridCol w:w="993"/>
        <w:gridCol w:w="5667"/>
      </w:tblGrid>
      <w:tr w:rsidR="00846DAE" w14:paraId="6EA146B5"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98523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Model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792C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ELPD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E7957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EE68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 xml:space="preserve">SE of </w:t>
            </w: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DB3A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Right Side of Formula</w:t>
            </w:r>
          </w:p>
        </w:tc>
      </w:tr>
      <w:tr w:rsidR="00846DAE" w14:paraId="2053787A" w14:textId="77777777">
        <w:trPr>
          <w:cantSplit/>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28D6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brm.fit.3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8A29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-2681.2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1FE0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A37F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1E32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(MLD_A * language) + (MLD_P * language) + (1 + language | ID) + (1 | pair)</w:t>
            </w:r>
          </w:p>
        </w:tc>
      </w:tr>
      <w:tr w:rsidR="00846DAE" w14:paraId="606E3D8A" w14:textId="77777777">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1B41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6B30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F7AE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B85F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FA44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language) + (MLD_P * language) + (MLD_A:MLD_A_binary * language) + (MLD_P:MLD_P_binary * language) + (1 + language | ID) + (1 | pair)</w:t>
            </w:r>
          </w:p>
        </w:tc>
      </w:tr>
      <w:tr w:rsidR="00846DAE" w14:paraId="1CCEC415" w14:textId="77777777">
        <w:trPr>
          <w:cantSplit/>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BB9B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brm.fit.2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1630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-2683.3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FBA9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B5EE8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D966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MLD_P + language + MLD_A:MLD_A_binary + MLD_P:MLD_P_binary + (1 + language | ID) + (1 | pair)</w:t>
            </w:r>
          </w:p>
        </w:tc>
      </w:tr>
      <w:tr w:rsidR="00846DAE" w14:paraId="4DE8F5E4" w14:textId="77777777">
        <w:trPr>
          <w:cantSplit/>
          <w:jc w:val="center"/>
        </w:trPr>
        <w:tc>
          <w:tcPr>
            <w:tcW w:w="0" w:type="auto"/>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3451FFD"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D2E0284" w14:textId="77777777" w:rsidR="00846DAE" w:rsidRDefault="00000000">
      <w:pPr>
        <w:pStyle w:val="BodyText"/>
      </w:pPr>
      <w:r>
        <w:t xml:space="preserve">As a Bayesian model, the multivariate model estimates the </w:t>
      </w:r>
      <w:r>
        <w:rPr>
          <w:i/>
          <w:iCs/>
        </w:rPr>
        <w:t>b</w:t>
      </w:r>
      <w:r>
        <w:t xml:space="preserve"> coefficient, or the median</w:t>
      </w:r>
      <w:r>
        <w:rPr>
          <w:rStyle w:val="FootnoteReference"/>
        </w:rPr>
        <w:footnoteReference w:id="2"/>
      </w:r>
      <w:r>
        <w:t xml:space="preserve"> of the posterior probability distribution of </w:t>
      </w:r>
      <m:oMath>
        <m:r>
          <w:rPr>
            <w:rFonts w:ascii="Cambria Math" w:hAnsi="Cambria Math"/>
          </w:rPr>
          <m:t>β</m:t>
        </m:r>
      </m:oMath>
      <w:r>
        <w:t xml:space="preserve"> slopes, for the main effect of each predictor variable and their interaction effects. The model also uses the 95% highest-density interval (HDI) to describe the uncertainty around the </w:t>
      </w:r>
      <w:r>
        <w:rPr>
          <w:i/>
          <w:iCs/>
        </w:rPr>
        <w:t>b</w:t>
      </w:r>
      <w:r>
        <w:t xml:space="preserve"> estimate, i.e. there is 95% chance that the true estimate is within this credible interval (CI). In the context of this study, predictor effects are considered robust if the 95% CI does not contain zero.</w:t>
      </w:r>
    </w:p>
    <w:p w14:paraId="69238839" w14:textId="77777777" w:rsidR="00846DAE" w:rsidRDefault="00000000">
      <w:pPr>
        <w:pStyle w:val="BodyText"/>
      </w:pPr>
      <w:r>
        <w:t>Based on my hypotheses, I predicted the following robust effects of the predictor on each of the outcome variables:</w:t>
      </w:r>
    </w:p>
    <w:p w14:paraId="132DDFBB" w14:textId="77777777" w:rsidR="00846DAE" w:rsidRDefault="00000000">
      <w:pPr>
        <w:pStyle w:val="BodyText"/>
      </w:pPr>
      <w:r>
        <w:rPr>
          <w:b/>
          <w:bCs/>
        </w:rPr>
        <w:t>VAS slope</w:t>
      </w:r>
      <w:r>
        <w:t xml:space="preserve">: I predicted robust main effects for MLD-A and MLD-P with negative </w:t>
      </w:r>
      <w:r>
        <w:rPr>
          <w:i/>
          <w:iCs/>
        </w:rPr>
        <w:t>b</w:t>
      </w:r>
      <w:r>
        <w:t xml:space="preserve"> estimates, reflecting a decrease in VAS slope as MLD-A/MLD-P increased. This would represent the trend of those with more experiential linguistic diversity showing shallower response trends. I predicted a main effect of language, with no particular prediction on the sign of the </w:t>
      </w:r>
      <w:r>
        <w:rPr>
          <w:i/>
          <w:iCs/>
        </w:rPr>
        <w:t>b</w:t>
      </w:r>
      <w:r>
        <w:t xml:space="preserve"> estimate, reflecting a difference in VAS slope between responses for English and Japanese contrast pairs. The interaction effect was added for exploratory reasons: a significant interaction effect would indicate that MLD-A and MLD-P predict VAS slope differently between responses for the English and Japanese contrasts. The model outcomes for VAS slope are discussed below in Section </w:t>
      </w:r>
      <w:hyperlink w:anchor="st1-slope-outcomes">
        <w:r>
          <w:fldChar w:fldCharType="begin"/>
        </w:r>
        <w:r>
          <w:instrText xml:space="preserve"> REF st1-slope-outcomes \h \r</w:instrText>
        </w:r>
        <w:r w:rsidR="001F3BE0">
          <w:fldChar w:fldCharType="separate"/>
        </w:r>
        <w:r w:rsidR="001F3BE0">
          <w:t>1.2.3.1</w:t>
        </w:r>
        <w:r>
          <w:fldChar w:fldCharType="end"/>
        </w:r>
      </w:hyperlink>
      <w:r>
        <w:t>.</w:t>
      </w:r>
    </w:p>
    <w:p w14:paraId="61ECC76C" w14:textId="77777777" w:rsidR="00846DAE" w:rsidRDefault="00000000">
      <w:pPr>
        <w:pStyle w:val="BodyText"/>
      </w:pPr>
      <w:r>
        <w:rPr>
          <w:b/>
          <w:bCs/>
        </w:rPr>
        <w:t>Response variability</w:t>
      </w:r>
      <w:r>
        <w:t xml:space="preserve">: I predicted robust main effects for MLD-A and MLD-P with negative </w:t>
      </w:r>
      <w:r>
        <w:rPr>
          <w:i/>
          <w:iCs/>
        </w:rPr>
        <w:t>b</w:t>
      </w:r>
      <w:r>
        <w:t xml:space="preserve"> estimates, reflecting decreasing response variability as MLD-A/MLD-P increased, </w:t>
      </w:r>
      <w:r>
        <w:lastRenderedPageBreak/>
        <w:t xml:space="preserve">meaning that higher experiential linguistic diversity predicts lower response variability. I predicted a main effect of language with a positive </w:t>
      </w:r>
      <w:r>
        <w:rPr>
          <w:i/>
          <w:iCs/>
        </w:rPr>
        <w:t>b</w:t>
      </w:r>
      <w:r>
        <w:t xml:space="preserve"> estimate, reflecting </w:t>
      </w:r>
      <w:r>
        <w:rPr>
          <w:i/>
          <w:iCs/>
        </w:rPr>
        <w:t>increasing</w:t>
      </w:r>
      <w:r>
        <w:t xml:space="preserve"> response variability for Japanese contrast pairs compared to English contrast pairs. This would indicate that response 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 </w:t>
      </w:r>
      <w:hyperlink w:anchor="st1-var-outcomes">
        <w:r>
          <w:fldChar w:fldCharType="begin"/>
        </w:r>
        <w:r>
          <w:instrText xml:space="preserve"> REF st1-var-outcomes \h \r</w:instrText>
        </w:r>
        <w:r w:rsidR="001F3BE0">
          <w:fldChar w:fldCharType="separate"/>
        </w:r>
        <w:r w:rsidR="001F3BE0">
          <w:t>1.2.3.2</w:t>
        </w:r>
        <w:r>
          <w:fldChar w:fldCharType="end"/>
        </w:r>
      </w:hyperlink>
      <w:r>
        <w:t>.</w:t>
      </w:r>
    </w:p>
    <w:p w14:paraId="53AB66CE" w14:textId="77777777" w:rsidR="00846DAE" w:rsidRDefault="00000000">
      <w:pPr>
        <w:pStyle w:val="BodyText"/>
      </w:pPr>
      <w:r>
        <w:rPr>
          <w:b/>
          <w:bCs/>
        </w:rPr>
        <w:t xml:space="preserve">Secondary </w:t>
      </w:r>
      <w:proofErr w:type="gramStart"/>
      <w:r>
        <w:rPr>
          <w:b/>
          <w:bCs/>
        </w:rPr>
        <w:t>cue</w:t>
      </w:r>
      <w:proofErr w:type="gramEnd"/>
      <w:r>
        <w:rPr>
          <w:b/>
          <w:bCs/>
        </w:rPr>
        <w:t xml:space="preserve"> use theta</w:t>
      </w:r>
      <w:r>
        <w:t xml:space="preserve">: The prediction for theta is more complicated, as the direction of the </w:t>
      </w:r>
      <w:r>
        <w:rPr>
          <w:i/>
          <w:iCs/>
        </w:rPr>
        <w:t>b</w:t>
      </w:r>
      <w:r>
        <w:t xml:space="preserve"> estimate had different interpretations depending on the theta value. For example, I predicted robust main effects for MLD-A and MLD-P that would reflect that increased experiential linguistic diversity predicts greater secondary cue integration. However, a positive </w:t>
      </w:r>
      <w:r>
        <w:rPr>
          <w:i/>
          <w:iCs/>
        </w:rPr>
        <w:t>b</w:t>
      </w:r>
      <w:r>
        <w:t xml:space="preserve"> estimate is qualitatively different for a theta value of -45 (relatively balanced use of primary and secondary cue with one or both being reversed) and 10 (mostly primary cue use in the expected direction). In the former case, a positive </w:t>
      </w:r>
      <w:r>
        <w:rPr>
          <w:i/>
          <w:iCs/>
        </w:rPr>
        <w:t>b</w:t>
      </w:r>
      <w:r>
        <w:t xml:space="preserve"> estimate would indicate increasing </w:t>
      </w:r>
      <w:r>
        <w:rPr>
          <w:i/>
          <w:iCs/>
        </w:rPr>
        <w:t>primary</w:t>
      </w:r>
      <w:r>
        <w:t xml:space="preserve"> cue use as theta approaches 0 from the negative direction, while in the latter case, a positive </w:t>
      </w:r>
      <w:r>
        <w:rPr>
          <w:i/>
          <w:iCs/>
        </w:rPr>
        <w:t>b</w:t>
      </w:r>
      <w:r>
        <w:t xml:space="preserve"> estimate would indicate increasing secondary cue use as theta approaches 45 (balanced use of primary and secondary cue).</w:t>
      </w:r>
    </w:p>
    <w:p w14:paraId="7193CE3D" w14:textId="77777777" w:rsidR="00846DAE" w:rsidRDefault="00000000">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values, i.e. range -90-0 (n = 122). Bayesian univariate models were run using </w:t>
      </w:r>
      <w:r>
        <w:rPr>
          <w:i/>
          <w:iCs/>
        </w:rPr>
        <w:t>brms</w:t>
      </w:r>
      <w:r>
        <w:t xml:space="preserve"> 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w:t>
      </w:r>
      <w:r>
        <w:lastRenderedPageBreak/>
        <w:t xml:space="preserve">ranges of theta. The model outcomes and post-hoc outcomes for secondary cue use are discussed below in Section </w:t>
      </w:r>
      <w:hyperlink w:anchor="st1-theta-outcomes">
        <w:r>
          <w:fldChar w:fldCharType="begin"/>
        </w:r>
        <w:r>
          <w:instrText xml:space="preserve"> REF st1-theta-outcomes \h \r</w:instrText>
        </w:r>
        <w:r w:rsidR="001F3BE0">
          <w:fldChar w:fldCharType="separate"/>
        </w:r>
        <w:r w:rsidR="001F3BE0">
          <w:t>1.2.3.3</w:t>
        </w:r>
        <w:r>
          <w:fldChar w:fldCharType="end"/>
        </w:r>
      </w:hyperlink>
      <w:r>
        <w:t>.</w:t>
      </w:r>
    </w:p>
    <w:p w14:paraId="4E5BFF75" w14:textId="77777777" w:rsidR="00846DAE" w:rsidRDefault="00000000">
      <w:pPr>
        <w:pStyle w:val="BodyText"/>
      </w:pPr>
      <w:r>
        <w:t xml:space="preserve">To answer the second part of RQ1 (“Do higher degrees of gradient categorization predict the degree of secondary acoustic cue usage for L1 and L2 speech?”), I similarly ran Bayesian univariate mixed-effects linear regression models </w:t>
      </w:r>
      <w:r>
        <w:rPr>
          <w:i/>
          <w:iCs/>
        </w:rPr>
        <w:t>brms</w:t>
      </w:r>
      <w:r>
        <w:t xml:space="preserve"> in R with theta as the dependent variable. The model estimates the main effects of the predictor variables VAS slope, response variability, and language, as well as their interactions. Again, random intercept terms were included for subject-level </w:t>
      </w:r>
      <w:r>
        <w:rPr>
          <w:rStyle w:val="VerbatimChar"/>
        </w:rPr>
        <w:t>ID</w:t>
      </w:r>
      <w:r>
        <w:t xml:space="preserve"> and item-level </w:t>
      </w:r>
      <w:r>
        <w:rPr>
          <w:rStyle w:val="VerbatimChar"/>
        </w:rPr>
        <w:t>pair</w:t>
      </w:r>
      <w:r>
        <w:t xml:space="preserve">, with random slopes for </w:t>
      </w:r>
      <w:r>
        <w:rPr>
          <w:rStyle w:val="VerbatimChar"/>
        </w:rPr>
        <w:t>ID</w:t>
      </w:r>
      <w:r>
        <w:t xml:space="preserve"> across languages. The model formula was specified as </w:t>
      </w:r>
      <w:r>
        <w:rPr>
          <w:rStyle w:val="VerbatimChar"/>
        </w:rPr>
        <w:t>Theta ~ Slope * Response Variability * language + (1 + language|ID) + (1|pair)</w:t>
      </w:r>
      <w:r>
        <w:t>. The same model formula was used to run separate univariate models for the two subsets of data for positive and negative theta values.</w:t>
      </w:r>
    </w:p>
    <w:p w14:paraId="3A640ABD" w14:textId="77777777" w:rsidR="00846DAE" w:rsidRDefault="00000000">
      <w:pPr>
        <w:pStyle w:val="BodyText"/>
      </w:pPr>
      <w:r>
        <w:t xml:space="preserve">Based on my hypotheses, particularly for the positive subset, I predicted robust main effect of contrast language with negative </w:t>
      </w:r>
      <w:r>
        <w:rPr>
          <w:i/>
          <w:iCs/>
        </w:rPr>
        <w:t>b</w:t>
      </w:r>
      <w:r>
        <w:t xml:space="preserve"> estimates, which would suggest decreased secondary cue integration for responses to Japanese contrasts compared to English. I also predicted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a three-way interaction between VAS slope, response variability, and language based on the prediction that the predictive strength of VAS slope and response variability on secondary cue use would be greater for L1 contrasts than for L2 contrasts.</w:t>
      </w:r>
    </w:p>
    <w:p w14:paraId="2AFCC955" w14:textId="77777777" w:rsidR="00846DAE" w:rsidRDefault="00000000">
      <w:pPr>
        <w:pStyle w:val="BodyText"/>
      </w:pPr>
      <w:r>
        <w:lastRenderedPageBreak/>
        <w:t xml:space="preserve">Although the model of the negative subset was largely exploratory, the model was included to explore the possibility that slope and response variability values that correspond to a noisy response profile may predict the degree of reversed cue integration. The outcomes for these univariate analyses are discussed below in Section </w:t>
      </w:r>
      <w:hyperlink w:anchor="st1-univariate-outcomes">
        <w:r>
          <w:fldChar w:fldCharType="begin"/>
        </w:r>
        <w:r>
          <w:instrText xml:space="preserve"> REF st1-univariate-outcomes \h \r</w:instrText>
        </w:r>
        <w:r w:rsidR="001F3BE0">
          <w:fldChar w:fldCharType="separate"/>
        </w:r>
        <w:r w:rsidR="001F3BE0">
          <w:t>1.2.4</w:t>
        </w:r>
        <w:r>
          <w:fldChar w:fldCharType="end"/>
        </w:r>
      </w:hyperlink>
      <w:r>
        <w:t>.</w:t>
      </w:r>
    </w:p>
    <w:p w14:paraId="3EC47F19" w14:textId="77777777" w:rsidR="00846DAE" w:rsidRDefault="00000000">
      <w:pPr>
        <w:pStyle w:val="Heading3"/>
      </w:pPr>
      <w:bookmarkStart w:id="20" w:name="st1-descrip-stats"/>
      <w:bookmarkEnd w:id="17"/>
      <w:r>
        <w:t>Descriptive statistics</w:t>
      </w:r>
    </w:p>
    <w:p w14:paraId="134CA4EC" w14:textId="77777777" w:rsidR="00846DAE" w:rsidRDefault="00000000">
      <w:pPr>
        <w:pStyle w:val="Heading4"/>
      </w:pPr>
      <w:bookmarkStart w:id="21" w:name="st1-vas-descrip-stats"/>
      <w:r>
        <w:t>VAS responses</w:t>
      </w:r>
    </w:p>
    <w:p w14:paraId="7E5FA61B" w14:textId="77777777" w:rsidR="00846DAE" w:rsidRDefault="00000000">
      <w:pPr>
        <w:pStyle w:val="FirstParagraph"/>
      </w:pPr>
      <w:r>
        <w:t xml:space="preserve">Table </w:t>
      </w:r>
      <w:hyperlink w:anchor="st1-sum-stats-tbl">
        <w:r>
          <w:fldChar w:fldCharType="begin"/>
        </w:r>
        <w:r>
          <w:instrText xml:space="preserve"> REF st1-sum-stats-tbl \h</w:instrText>
        </w:r>
        <w:r w:rsidR="001F3BE0">
          <w:fldChar w:fldCharType="separate"/>
        </w:r>
        <w:r w:rsidR="001F3BE0">
          <w:rPr>
            <w:b/>
            <w:noProof/>
          </w:rPr>
          <w:t>4</w:t>
        </w:r>
        <w:r>
          <w:fldChar w:fldCharType="end"/>
        </w:r>
      </w:hyperlink>
      <w:r>
        <w:t xml:space="preserve"> presents the summary statistics of the estimates from the rotated logistic curve fit for each contrast pair, averaged across n = 76</w:t>
      </w:r>
      <w:r>
        <w:rPr>
          <w:rStyle w:val="FootnoteReference"/>
        </w:rPr>
        <w:footnoteReference w:id="3"/>
      </w:r>
      <w:r>
        <w:t xml:space="preserve"> participants. The table describes the range, mean, median, and standard deviation of the variables of interest used in the regression model: log-transformed slope, response variability, and re-centered theta.</w:t>
      </w:r>
    </w:p>
    <w:p w14:paraId="367458BD" w14:textId="77777777" w:rsidR="00846DAE" w:rsidRDefault="00000000" w:rsidP="001F3BE0">
      <w:pPr>
        <w:pStyle w:val="TableCaption"/>
      </w:pPr>
      <w:r>
        <w:rPr>
          <w:b/>
        </w:rPr>
        <w:t xml:space="preserve">Table </w:t>
      </w:r>
      <w:bookmarkStart w:id="22" w:name="st1-sum-stats-tbl"/>
      <w:r>
        <w:rPr>
          <w:b/>
        </w:rPr>
        <w:fldChar w:fldCharType="begin"/>
      </w:r>
      <w:r>
        <w:rPr>
          <w:b/>
        </w:rPr>
        <w:instrText>SEQ tab \* Arabic</w:instrText>
      </w:r>
      <w:r w:rsidR="001F3BE0">
        <w:rPr>
          <w:b/>
        </w:rPr>
        <w:fldChar w:fldCharType="separate"/>
      </w:r>
      <w:r w:rsidR="001F3BE0">
        <w:rPr>
          <w:b/>
          <w:noProof/>
        </w:rPr>
        <w:t>4</w:t>
      </w:r>
      <w:r>
        <w:rPr>
          <w:b/>
        </w:rPr>
        <w:fldChar w:fldCharType="end"/>
      </w:r>
      <w:bookmarkEnd w:id="22"/>
      <w:r>
        <w:rPr>
          <w:b/>
        </w:rPr>
        <w:t xml:space="preserve">: </w:t>
      </w:r>
      <w:r>
        <w:t>Summary statistics of rotated logistic curve estimates of slope, response variability, and theta, by contrast pair.</w:t>
      </w:r>
    </w:p>
    <w:tbl>
      <w:tblPr>
        <w:tblW w:w="0" w:type="pct"/>
        <w:jc w:val="center"/>
        <w:tblLook w:val="0420" w:firstRow="1" w:lastRow="0" w:firstColumn="0" w:lastColumn="0" w:noHBand="0" w:noVBand="1"/>
      </w:tblPr>
      <w:tblGrid>
        <w:gridCol w:w="1468"/>
        <w:gridCol w:w="1551"/>
        <w:gridCol w:w="1912"/>
        <w:gridCol w:w="1369"/>
        <w:gridCol w:w="959"/>
        <w:gridCol w:w="1198"/>
        <w:gridCol w:w="903"/>
      </w:tblGrid>
      <w:tr w:rsidR="00846DAE" w14:paraId="51500FA4"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D18F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Language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368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Contrast Pair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D023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VAS Measure*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AB2D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Range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D0C5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07FF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AE0D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SD</w:t>
            </w:r>
          </w:p>
        </w:tc>
      </w:tr>
      <w:tr w:rsidR="00846DAE" w14:paraId="5D2D402D"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74D7B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English</w:t>
            </w:r>
          </w:p>
        </w:tc>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884C98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34C49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65DE2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(-1.54, 3.05)</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08FC4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C1FAE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C3D0C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0.98</w:t>
            </w:r>
          </w:p>
        </w:tc>
      </w:tr>
      <w:tr w:rsidR="00846DAE" w14:paraId="26B46BD1"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C03EF1E"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DF91389"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6F4D1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EDD29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(0.8, 34.32)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B48CC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8A52D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97D43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5.58</w:t>
            </w:r>
          </w:p>
        </w:tc>
      </w:tr>
      <w:tr w:rsidR="00846DAE" w14:paraId="29A4B7C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98E8BF"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F25CD96"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4CEA6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C9557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(-60.12, 53.8)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DFE31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11.03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169ED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11.58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D7DF7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11.73</w:t>
            </w:r>
          </w:p>
        </w:tc>
      </w:tr>
      <w:tr w:rsidR="00846DAE" w14:paraId="66B70A53"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F2AA462"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1F116B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00955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6EDD7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(-2.56, 2.75)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31E48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1A17B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0DAD1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846DAE" w14:paraId="380D5AA1"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13F55C"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B890C7"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9711A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8C70E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(8.23, 38.43)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D4543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20.18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AEA27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9B475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6.59</w:t>
            </w:r>
          </w:p>
        </w:tc>
      </w:tr>
      <w:tr w:rsidR="00846DAE" w14:paraId="55C48FCE"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5AB3E4"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B4371F"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B3A5D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EEBDA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88.26)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EF0D4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17.63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DE4E6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10.38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73139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38.25</w:t>
            </w:r>
          </w:p>
        </w:tc>
      </w:tr>
      <w:tr w:rsidR="00846DAE" w14:paraId="3CC4F932"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0CDB1E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w:t>
            </w:r>
          </w:p>
        </w:tc>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E2E72C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F665B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A89EA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(-2.54, 2.35)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DC4F7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E0F19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A1805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1.20</w:t>
            </w:r>
          </w:p>
        </w:tc>
      </w:tr>
      <w:tr w:rsidR="00846DAE" w14:paraId="688DE4B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B98D578"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142426B"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FAFD6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D74B6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(0.66, 43.12)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748E1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21.33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7C539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20.80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9E862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8.81</w:t>
            </w:r>
          </w:p>
        </w:tc>
      </w:tr>
      <w:tr w:rsidR="00846DAE" w14:paraId="215191A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8BB95D"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52F4CF"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8682B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5268D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89.92)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8C2A2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3A59F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-5.13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9AF26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30.25</w:t>
            </w:r>
          </w:p>
        </w:tc>
      </w:tr>
      <w:tr w:rsidR="00846DAE" w14:paraId="47327704"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14CF39B"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02A4F8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3A068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190EA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(-2.42, 2.72)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5423E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F29C8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6BBCB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r>
      <w:tr w:rsidR="00846DAE" w14:paraId="3162F868"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60CAE70"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F8D04A8"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F8988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00DB7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(5.42, 34.86)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F075A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DEEA4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17.74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CD7DE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5.34</w:t>
            </w:r>
          </w:p>
        </w:tc>
      </w:tr>
      <w:tr w:rsidR="00846DAE" w14:paraId="495FDF73"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E07530"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FC9040"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36AA9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3C07D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(-49.39, 63.94)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050BB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9FFC3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9BDC5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14.03</w:t>
            </w:r>
          </w:p>
        </w:tc>
      </w:tr>
      <w:tr w:rsidR="00846DAE" w14:paraId="310DB797" w14:textId="77777777">
        <w:trPr>
          <w:cantSplit/>
          <w:jc w:val="center"/>
        </w:trPr>
        <w:tc>
          <w:tcPr>
            <w:tcW w:w="0" w:type="auto"/>
            <w:gridSpan w:val="7"/>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0C185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Note: Slope was log-transformed and group mean-centered. Theta was re-centered around 90 by the formula (90 - original theta), transforming the original 0-180 range to -90-90, such that original 90 --&gt; 0 = re-centered 0 --&gt; 90 and original 90 --&gt; 180 = re-centered 0 --&gt; -90.</w:t>
            </w:r>
          </w:p>
        </w:tc>
      </w:tr>
      <w:tr w:rsidR="00846DAE" w14:paraId="64ADE5E0" w14:textId="77777777">
        <w:trPr>
          <w:cantSplit/>
          <w:jc w:val="center"/>
        </w:trPr>
        <w:tc>
          <w:tcPr>
            <w:tcW w:w="0" w:type="auto"/>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48DF5D"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E589C36" w14:textId="77777777" w:rsidR="00846DAE" w:rsidRDefault="00000000">
      <w:pPr>
        <w:pStyle w:val="BodyText"/>
      </w:pPr>
      <w:r>
        <w:t xml:space="preserve">In terms of group level response patterns, Figure </w:t>
      </w:r>
      <w:hyperlink w:anchor="st1-avg-heatmap">
        <w:r>
          <w:fldChar w:fldCharType="begin"/>
        </w:r>
        <w:r>
          <w:instrText xml:space="preserve"> REF st1-avg-heatmap \h</w:instrText>
        </w:r>
        <w:r w:rsidR="001F3BE0">
          <w:fldChar w:fldCharType="separate"/>
        </w:r>
        <w:r w:rsidR="001F3BE0">
          <w:rPr>
            <w:b/>
            <w:noProof/>
          </w:rPr>
          <w:t>6</w:t>
        </w:r>
        <w:r>
          <w:fldChar w:fldCharType="end"/>
        </w:r>
      </w:hyperlink>
      <w:r>
        <w:t xml:space="preserve"> 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14:paraId="286DBBA7" w14:textId="77777777" w:rsidR="00846DAE" w:rsidRDefault="00000000">
      <w:pPr>
        <w:pStyle w:val="Figure"/>
        <w:jc w:val="center"/>
      </w:pPr>
      <w:r>
        <w:rPr>
          <w:noProof/>
        </w:rPr>
        <w:lastRenderedPageBreak/>
        <w:drawing>
          <wp:inline distT="0" distB="0" distL="0" distR="0" wp14:anchorId="43B97672" wp14:editId="3D01D2E0">
            <wp:extent cx="45720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63500" cy="50800"/>
                    </a:xfrm>
                    <a:prstGeom prst="rect">
                      <a:avLst/>
                    </a:prstGeom>
                    <a:noFill/>
                  </pic:spPr>
                </pic:pic>
              </a:graphicData>
            </a:graphic>
          </wp:inline>
        </w:drawing>
      </w:r>
    </w:p>
    <w:p w14:paraId="14C4CF0F" w14:textId="77777777" w:rsidR="00846DAE" w:rsidRDefault="00000000">
      <w:pPr>
        <w:pStyle w:val="ImageCaption"/>
      </w:pPr>
      <w:r>
        <w:rPr>
          <w:b/>
        </w:rPr>
        <w:t xml:space="preserve">Figure </w:t>
      </w:r>
      <w:bookmarkStart w:id="23" w:name="st1-avg-heatmap"/>
      <w:r>
        <w:rPr>
          <w:b/>
        </w:rPr>
        <w:fldChar w:fldCharType="begin"/>
      </w:r>
      <w:r>
        <w:rPr>
          <w:b/>
        </w:rPr>
        <w:instrText>SEQ fig \* Arabic</w:instrText>
      </w:r>
      <w:r w:rsidR="001F3BE0">
        <w:rPr>
          <w:b/>
        </w:rPr>
        <w:fldChar w:fldCharType="separate"/>
      </w:r>
      <w:r w:rsidR="001F3BE0">
        <w:rPr>
          <w:b/>
          <w:noProof/>
        </w:rPr>
        <w:t>6</w:t>
      </w:r>
      <w:r>
        <w:rPr>
          <w:b/>
        </w:rPr>
        <w:fldChar w:fldCharType="end"/>
      </w:r>
      <w:bookmarkEnd w:id="23"/>
      <w:r>
        <w:rPr>
          <w:b/>
        </w:rPr>
        <w:t xml:space="preserve">: </w:t>
      </w:r>
      <w:r>
        <w:t>Two-dimensional VAS responses for English and Japanese contrast pairs, averaged across participants.</w:t>
      </w:r>
    </w:p>
    <w:p w14:paraId="5D4840AC" w14:textId="77777777" w:rsidR="00846DAE" w:rsidRDefault="00000000">
      <w:pPr>
        <w:pStyle w:val="BodyText"/>
      </w:pPr>
      <w:r>
        <w:t xml:space="preserve">As expected from the gradient categorization framework, individuals varied substantially in their use of the continuous response scale. Figure </w:t>
      </w:r>
      <w:hyperlink w:anchor="st1-hist-examples">
        <w:r>
          <w:fldChar w:fldCharType="begin"/>
        </w:r>
        <w:r>
          <w:instrText xml:space="preserve"> REF st1-hist-examples \h</w:instrText>
        </w:r>
        <w:r w:rsidR="001F3BE0">
          <w:fldChar w:fldCharType="separate"/>
        </w:r>
        <w:r w:rsidR="001F3BE0">
          <w:rPr>
            <w:b/>
            <w:noProof/>
          </w:rPr>
          <w:t>7</w:t>
        </w:r>
        <w:r>
          <w:fldChar w:fldCharType="end"/>
        </w:r>
      </w:hyperlink>
      <w:r>
        <w:t xml:space="preserve"> captures the range of response patterns across and within individuals. The top panel captures between-subject variability with five representative participants who are consistent in their range of VAS responses across contrast pairs. This includes a listener who uses the entire scale and can be described as canonically gradient (ID 7172, second from bottom), a listener who exclusively uses the endpoints and can be described as canonically categorical (ID 7189, bottom). We also see listeners who fall somewhere in between: ID 5098 (top) is a listener with a bimodal distribution of responses near either endpoint, ID 6015 (second from top) is a listener who favors the two endpoints but occasionally responds along the scale, and ID 6998 (third from top) is a listener with a wide unimodal distribution favoring the center of the scale. The bottom panel captures within-subject variability with five </w:t>
      </w:r>
      <w:r>
        <w:lastRenderedPageBreak/>
        <w:t>representative participants who are inconsistent in their range of VAS responses either across contrast pairs or across languages. This include listeners who show categorical patterns for the English pairs but gradient patterns for the Japanese pairs (ID 5178, top; ID 6235, bottom), and listeners who are inconsistent across contrast pairs (middle three).</w:t>
      </w:r>
    </w:p>
    <w:p w14:paraId="37E5F89A" w14:textId="77777777" w:rsidR="00846DAE" w:rsidRDefault="00000000">
      <w:pPr>
        <w:pStyle w:val="Figure"/>
        <w:jc w:val="center"/>
      </w:pPr>
      <w:r>
        <w:rPr>
          <w:noProof/>
        </w:rPr>
        <w:drawing>
          <wp:inline distT="0" distB="0" distL="0" distR="0" wp14:anchorId="0A039E97" wp14:editId="47E7B7B5">
            <wp:extent cx="45720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63500" cy="50800"/>
                    </a:xfrm>
                    <a:prstGeom prst="rect">
                      <a:avLst/>
                    </a:prstGeom>
                    <a:noFill/>
                  </pic:spPr>
                </pic:pic>
              </a:graphicData>
            </a:graphic>
          </wp:inline>
        </w:drawing>
      </w:r>
    </w:p>
    <w:p w14:paraId="0C7EF7ED" w14:textId="77777777" w:rsidR="00846DAE" w:rsidRDefault="00000000">
      <w:pPr>
        <w:pStyle w:val="ImageCaption"/>
      </w:pPr>
      <w:r>
        <w:rPr>
          <w:b/>
        </w:rPr>
        <w:t xml:space="preserve">Figure </w:t>
      </w:r>
      <w:bookmarkStart w:id="24" w:name="st1-hist-examples"/>
      <w:r>
        <w:rPr>
          <w:b/>
        </w:rPr>
        <w:fldChar w:fldCharType="begin"/>
      </w:r>
      <w:r>
        <w:rPr>
          <w:b/>
        </w:rPr>
        <w:instrText>SEQ fig \* Arabic</w:instrText>
      </w:r>
      <w:r w:rsidR="001F3BE0">
        <w:rPr>
          <w:b/>
        </w:rPr>
        <w:fldChar w:fldCharType="separate"/>
      </w:r>
      <w:r w:rsidR="001F3BE0">
        <w:rPr>
          <w:b/>
          <w:noProof/>
        </w:rPr>
        <w:t>7</w:t>
      </w:r>
      <w:r>
        <w:rPr>
          <w:b/>
        </w:rPr>
        <w:fldChar w:fldCharType="end"/>
      </w:r>
      <w:bookmarkEnd w:id="24"/>
      <w:r>
        <w:rPr>
          <w:b/>
        </w:rPr>
        <w:t xml:space="preserve">: </w:t>
      </w:r>
      <w:r>
        <w:t>Histograms of sample individual VAS responses (x-axis) for each of the four contrasts to show diversity of patterns in using entire range of the scale. Responders varied in their consistency of VAS scale use both within and across contrast languages.</w:t>
      </w:r>
    </w:p>
    <w:p w14:paraId="7DF9F99D" w14:textId="77777777" w:rsidR="00846DAE" w:rsidRDefault="00000000">
      <w:pPr>
        <w:pStyle w:val="BodyText"/>
      </w:pPr>
      <w:r>
        <w:t xml:space="preserve">While response histograms capture individual differences using the full range of the VAS scale, they fail to model the relationship between stimuli characteristics, as steps along the continuum, and categorization patterns, as VAS response. Figure </w:t>
      </w:r>
      <w:hyperlink w:anchor="st1-scatter-examples">
        <w:r>
          <w:fldChar w:fldCharType="begin"/>
        </w:r>
        <w:r>
          <w:instrText xml:space="preserve"> REF st1-scatter-examples \h</w:instrText>
        </w:r>
        <w:r w:rsidR="001F3BE0">
          <w:fldChar w:fldCharType="separate"/>
        </w:r>
        <w:r w:rsidR="001F3BE0">
          <w:rPr>
            <w:b/>
            <w:noProof/>
          </w:rPr>
          <w:t>8</w:t>
        </w:r>
        <w:r>
          <w:fldChar w:fldCharType="end"/>
        </w:r>
      </w:hyperlink>
      <w:r>
        <w:t xml:space="preserve"> displays sample ratings plotted along the primary continuum (collapsed across the secondary cue for ease of visualization). These plots visually capture the range of slopes (mean function, the red curve) and response variability values (individual trial responses, the black dots) across participants and contrast pairs. [insert concrete descriptors]</w:t>
      </w:r>
    </w:p>
    <w:p w14:paraId="79E9F6EA" w14:textId="77777777" w:rsidR="00846DAE" w:rsidRDefault="00000000">
      <w:pPr>
        <w:pStyle w:val="Figure"/>
        <w:jc w:val="center"/>
      </w:pPr>
      <w:r>
        <w:rPr>
          <w:noProof/>
        </w:rPr>
        <w:lastRenderedPageBreak/>
        <w:drawing>
          <wp:inline distT="0" distB="0" distL="0" distR="0" wp14:anchorId="1F7F8514" wp14:editId="7A212070">
            <wp:extent cx="45720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63500" cy="50800"/>
                    </a:xfrm>
                    <a:prstGeom prst="rect">
                      <a:avLst/>
                    </a:prstGeom>
                    <a:noFill/>
                  </pic:spPr>
                </pic:pic>
              </a:graphicData>
            </a:graphic>
          </wp:inline>
        </w:drawing>
      </w:r>
    </w:p>
    <w:p w14:paraId="1FB26B04" w14:textId="77777777" w:rsidR="00846DAE" w:rsidRDefault="00000000">
      <w:pPr>
        <w:pStyle w:val="ImageCaption"/>
      </w:pPr>
      <w:r>
        <w:rPr>
          <w:b/>
        </w:rPr>
        <w:t xml:space="preserve">Figure </w:t>
      </w:r>
      <w:bookmarkStart w:id="25" w:name="st1-scatter-examples"/>
      <w:r>
        <w:rPr>
          <w:b/>
        </w:rPr>
        <w:fldChar w:fldCharType="begin"/>
      </w:r>
      <w:r>
        <w:rPr>
          <w:b/>
        </w:rPr>
        <w:instrText>SEQ fig \* Arabic</w:instrText>
      </w:r>
      <w:r w:rsidR="001F3BE0">
        <w:rPr>
          <w:b/>
        </w:rPr>
        <w:fldChar w:fldCharType="separate"/>
      </w:r>
      <w:r w:rsidR="001F3BE0">
        <w:rPr>
          <w:b/>
          <w:noProof/>
        </w:rPr>
        <w:t>8</w:t>
      </w:r>
      <w:r>
        <w:rPr>
          <w:b/>
        </w:rPr>
        <w:fldChar w:fldCharType="end"/>
      </w:r>
      <w:bookmarkEnd w:id="25"/>
      <w:r>
        <w:rPr>
          <w:b/>
        </w:rPr>
        <w:t xml:space="preserve">: </w:t>
      </w:r>
      <w:r>
        <w:t>PLACEHOLDER FOR examples of gradiency and response variability</w:t>
      </w:r>
    </w:p>
    <w:p w14:paraId="1AC0439C" w14:textId="77777777" w:rsidR="00846DAE" w:rsidRDefault="00000000">
      <w:pPr>
        <w:pStyle w:val="BodyText"/>
      </w:pPr>
      <w:r>
        <w:t xml:space="preserve">Lastly, individual-level raster plots (Figure </w:t>
      </w:r>
      <w:hyperlink w:anchor="st1-heatmap-examples">
        <w:r>
          <w:fldChar w:fldCharType="begin"/>
        </w:r>
        <w:r>
          <w:instrText xml:space="preserve"> REF st1-heatmap-examples \h</w:instrText>
        </w:r>
        <w:r w:rsidR="001F3BE0">
          <w:fldChar w:fldCharType="separate"/>
        </w:r>
        <w:r w:rsidR="001F3BE0">
          <w:rPr>
            <w:b/>
            <w:noProof/>
          </w:rPr>
          <w:t>9</w:t>
        </w:r>
        <w:r>
          <w:fldChar w:fldCharType="end"/>
        </w:r>
      </w:hyperlink>
      <w:r>
        <w:t xml:space="preserve"> show the range of secondary cue use, with the theta angle of the two-dimensional category boundary plotted on top of average VAS response (color). [insert concrete descriptors] Talk about reversed cue usage! find examples of people for who it seems like the primary cue is reverse compared to the secondary cue (anybody completely flipped?)</w:t>
      </w:r>
    </w:p>
    <w:p w14:paraId="5CEE7244" w14:textId="77777777" w:rsidR="00846DAE" w:rsidRDefault="00000000">
      <w:pPr>
        <w:pStyle w:val="Figure"/>
        <w:jc w:val="center"/>
      </w:pPr>
      <w:r>
        <w:rPr>
          <w:noProof/>
        </w:rPr>
        <w:lastRenderedPageBreak/>
        <w:drawing>
          <wp:inline distT="0" distB="0" distL="0" distR="0" wp14:anchorId="63E65029" wp14:editId="159E2F41">
            <wp:extent cx="457200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63500" cy="50800"/>
                    </a:xfrm>
                    <a:prstGeom prst="rect">
                      <a:avLst/>
                    </a:prstGeom>
                    <a:noFill/>
                  </pic:spPr>
                </pic:pic>
              </a:graphicData>
            </a:graphic>
          </wp:inline>
        </w:drawing>
      </w:r>
    </w:p>
    <w:p w14:paraId="42A27631" w14:textId="77777777" w:rsidR="00846DAE" w:rsidRDefault="00000000">
      <w:pPr>
        <w:pStyle w:val="ImageCaption"/>
      </w:pPr>
      <w:r>
        <w:rPr>
          <w:b/>
        </w:rPr>
        <w:t xml:space="preserve">Figure </w:t>
      </w:r>
      <w:bookmarkStart w:id="26" w:name="st1-heatmap-examples"/>
      <w:r>
        <w:rPr>
          <w:b/>
        </w:rPr>
        <w:fldChar w:fldCharType="begin"/>
      </w:r>
      <w:r>
        <w:rPr>
          <w:b/>
        </w:rPr>
        <w:instrText>SEQ fig \* Arabic</w:instrText>
      </w:r>
      <w:r w:rsidR="001F3BE0">
        <w:rPr>
          <w:b/>
        </w:rPr>
        <w:fldChar w:fldCharType="separate"/>
      </w:r>
      <w:r w:rsidR="001F3BE0">
        <w:rPr>
          <w:b/>
          <w:noProof/>
        </w:rPr>
        <w:t>9</w:t>
      </w:r>
      <w:r>
        <w:rPr>
          <w:b/>
        </w:rPr>
        <w:fldChar w:fldCharType="end"/>
      </w:r>
      <w:bookmarkEnd w:id="26"/>
      <w:r>
        <w:rPr>
          <w:b/>
        </w:rPr>
        <w:t xml:space="preserve">: </w:t>
      </w:r>
      <w:r>
        <w:t>PLACEHOLDER FOR examples of two-dimensional response variability, category boundary, and theta</w:t>
      </w:r>
    </w:p>
    <w:p w14:paraId="6D9D0752" w14:textId="77777777" w:rsidR="00846DAE" w:rsidRDefault="00000000">
      <w:pPr>
        <w:pStyle w:val="Heading4"/>
      </w:pPr>
      <w:bookmarkStart w:id="27" w:name="st1-ldq-descrip-stats"/>
      <w:bookmarkEnd w:id="21"/>
      <w:r>
        <w:t>LDQ responses</w:t>
      </w:r>
    </w:p>
    <w:p w14:paraId="3C2EC69B" w14:textId="77777777" w:rsidR="00846DAE" w:rsidRDefault="00000000">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 </w:t>
      </w:r>
      <w:r>
        <w:rPr>
          <w:i/>
          <w:iCs/>
        </w:rPr>
        <w:t>r</w:t>
      </w:r>
      <w:r>
        <w:t xml:space="preserve">(74) = .35, </w:t>
      </w:r>
      <w:r>
        <w:rPr>
          <w:i/>
          <w:iCs/>
        </w:rPr>
        <w:t>p</w:t>
      </w:r>
      <w:r>
        <w:t xml:space="preserve"> = 0.002). Figure </w:t>
      </w:r>
      <w:hyperlink w:anchor="st1-mld-plot">
        <w:r>
          <w:fldChar w:fldCharType="begin"/>
        </w:r>
        <w:r>
          <w:instrText xml:space="preserve"> REF st1-mld-plot \h</w:instrText>
        </w:r>
        <w:r w:rsidR="001F3BE0">
          <w:fldChar w:fldCharType="separate"/>
        </w:r>
        <w:r w:rsidR="001F3BE0">
          <w:rPr>
            <w:b/>
            <w:noProof/>
          </w:rPr>
          <w:t>10</w:t>
        </w:r>
        <w:r>
          <w:fldChar w:fldCharType="end"/>
        </w:r>
      </w:hyperlink>
      <w:r>
        <w:t xml:space="preserve"> plots the distributions of MLD-A and MLD-P scores (left column of panels), along with a scatterplot displaying their correlation (right panel). The histograms show that both distributions are zero-inflated, meaning that most participants have both MLD-A and MLD-P scores of zero.</w:t>
      </w:r>
    </w:p>
    <w:p w14:paraId="6985FED9" w14:textId="77777777" w:rsidR="00846DAE" w:rsidRDefault="00000000">
      <w:pPr>
        <w:pStyle w:val="Figure"/>
        <w:jc w:val="center"/>
      </w:pPr>
      <w:r>
        <w:rPr>
          <w:noProof/>
        </w:rPr>
        <w:lastRenderedPageBreak/>
        <w:drawing>
          <wp:inline distT="0" distB="0" distL="0" distR="0" wp14:anchorId="70879BD7" wp14:editId="1D726F09">
            <wp:extent cx="45720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63500" cy="50800"/>
                    </a:xfrm>
                    <a:prstGeom prst="rect">
                      <a:avLst/>
                    </a:prstGeom>
                    <a:noFill/>
                  </pic:spPr>
                </pic:pic>
              </a:graphicData>
            </a:graphic>
          </wp:inline>
        </w:drawing>
      </w:r>
    </w:p>
    <w:p w14:paraId="548EC32A" w14:textId="77777777" w:rsidR="00846DAE" w:rsidRDefault="00000000">
      <w:pPr>
        <w:pStyle w:val="ImageCaption"/>
      </w:pPr>
      <w:r>
        <w:rPr>
          <w:b/>
        </w:rPr>
        <w:t xml:space="preserve">Figure </w:t>
      </w:r>
      <w:bookmarkStart w:id="28" w:name="st1-mld-plot"/>
      <w:r>
        <w:rPr>
          <w:b/>
        </w:rPr>
        <w:fldChar w:fldCharType="begin"/>
      </w:r>
      <w:r>
        <w:rPr>
          <w:b/>
        </w:rPr>
        <w:instrText>SEQ fig \* Arabic</w:instrText>
      </w:r>
      <w:r w:rsidR="001F3BE0">
        <w:rPr>
          <w:b/>
        </w:rPr>
        <w:fldChar w:fldCharType="separate"/>
      </w:r>
      <w:r w:rsidR="001F3BE0">
        <w:rPr>
          <w:b/>
          <w:noProof/>
        </w:rPr>
        <w:t>10</w:t>
      </w:r>
      <w:r>
        <w:rPr>
          <w:b/>
        </w:rPr>
        <w:fldChar w:fldCharType="end"/>
      </w:r>
      <w:bookmarkEnd w:id="28"/>
      <w:r>
        <w:rPr>
          <w:b/>
        </w:rPr>
        <w:t xml:space="preserve">: </w:t>
      </w:r>
      <w:r>
        <w:t>Histograms of MLD-A and MLD-P scores (A and B) and scatterplot of correlation between MLD-A and MLD-P where eat dot represents an individual. Grid lines indicate the score corresponding to balanced use of n languages. Scores in between these breakpoints represent imbalanced use of two, three, and four languages as MLD scores approach 1, 1.58, and 2, respectively.</w:t>
      </w:r>
    </w:p>
    <w:p w14:paraId="03E21786" w14:textId="77777777" w:rsidR="00846DAE" w:rsidRDefault="00000000">
      <w:pPr>
        <w:pStyle w:val="BodyText"/>
      </w:pPr>
      <w:r>
        <w:t>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passive experiences, or both. Of particular interest are those who reported being functionally monolingual with passive exposure to multiple languages, as indicated by MLD-A scores of 0 and non-zero MLD-P scores (the dots parallel to the y-axis). The data support the idea of diverse language experiences among “functional” monolinguals, who may expose themselves to passive linguistic diversity even if they do not view themselves as multilingual, and the importance of measuring a broad range of experiences.</w:t>
      </w:r>
    </w:p>
    <w:p w14:paraId="13AD2D6C" w14:textId="77777777" w:rsidR="00846DAE" w:rsidRDefault="00000000">
      <w:pPr>
        <w:pStyle w:val="Heading3"/>
      </w:pPr>
      <w:bookmarkStart w:id="29" w:name="st1-multivariate-outcomes"/>
      <w:bookmarkEnd w:id="20"/>
      <w:bookmarkEnd w:id="27"/>
      <w:r>
        <w:lastRenderedPageBreak/>
        <w:t>Multivariate model outcomes for VAS slope, response variability, and secondary cue use</w:t>
      </w:r>
    </w:p>
    <w:p w14:paraId="75B4557C" w14:textId="77777777" w:rsidR="00846DAE" w:rsidRDefault="00000000">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 </w:t>
      </w:r>
      <w:hyperlink w:anchor="st1-multi-fixedeff">
        <w:r>
          <w:fldChar w:fldCharType="begin"/>
        </w:r>
        <w:r>
          <w:instrText xml:space="preserve"> REF st1-multi-fixedeff \h</w:instrText>
        </w:r>
        <w:r w:rsidR="001F3BE0">
          <w:fldChar w:fldCharType="separate"/>
        </w:r>
        <w:r w:rsidR="001F3BE0">
          <w:rPr>
            <w:b/>
            <w:noProof/>
          </w:rPr>
          <w:t>5</w:t>
        </w:r>
        <w:r>
          <w:fldChar w:fldCharType="end"/>
        </w:r>
      </w:hyperlink>
      <w:r>
        <w:t xml:space="preserve"> presents the </w:t>
      </w:r>
      <w:r>
        <w:rPr>
          <w:i/>
          <w:iCs/>
        </w:rPr>
        <w:t>b</w:t>
      </w:r>
      <w:r>
        <w:t xml:space="preserve"> estimates of the fixed effects, the median of the posterior probability distributions, and the 95% highest-density interval (HDI) as the 95% credible interval (CI). Each estimate is also accompanied by a </w:t>
      </w:r>
      <w:r>
        <w:rPr>
          <w:i/>
          <w:iCs/>
        </w:rPr>
        <w:t>p</w:t>
      </w:r>
      <w:r>
        <w:t>-value that is calculated from the Bayesian index Probability of Direction (</w:t>
      </w:r>
      <w:r>
        <w:rPr>
          <w:i/>
          <w:iCs/>
        </w:rPr>
        <w:t>pd</w:t>
      </w:r>
      <w:r>
        <w:t xml:space="preserve">). As an index of predictor effect existence, </w:t>
      </w:r>
      <w:r>
        <w:rPr>
          <w:i/>
          <w:iCs/>
        </w:rPr>
        <w:t>pd</w:t>
      </w:r>
      <w:r>
        <w:t xml:space="preserve"> is defined as the proportion of the posterior distribution that has the same sign (on the same size of zero) as the median, which can be interpreted as the probability that the true parameter is either positive or negative. A type of two-sided </w:t>
      </w:r>
      <w:r>
        <w:rPr>
          <w:i/>
          <w:iCs/>
        </w:rPr>
        <w:t>p</w:t>
      </w:r>
      <w:r>
        <w:t xml:space="preserve">-value that is comparable to </w:t>
      </w:r>
      <w:r>
        <w:rPr>
          <w:i/>
          <w:iCs/>
        </w:rPr>
        <w:t>p</w:t>
      </w:r>
      <w:r>
        <w:t xml:space="preserve">-values calculated for frequentist models can be calculated from </w:t>
      </w:r>
      <w:r>
        <w:rPr>
          <w:i/>
          <w:iCs/>
        </w:rPr>
        <w:t>pd</w:t>
      </w:r>
      <w:r>
        <w:t xml:space="preserve"> through the formula </w:t>
      </w:r>
      <w:r>
        <w:rPr>
          <w:i/>
          <w:iCs/>
        </w:rPr>
        <w:t>p</w:t>
      </w:r>
      <w:r>
        <w:t xml:space="preserve"> = 2 x (1 - </w:t>
      </w:r>
      <w:r>
        <w:rPr>
          <w:i/>
          <w:iCs/>
        </w:rPr>
        <w:t>pd</w:t>
      </w:r>
      <w:r>
        <w:t xml:space="preserve">). This </w:t>
      </w:r>
      <w:r>
        <w:rPr>
          <w:i/>
          <w:iCs/>
        </w:rPr>
        <w:t>pd</w:t>
      </w:r>
      <w:r>
        <w:t xml:space="preserve">-based </w:t>
      </w:r>
      <w:r>
        <w:rPr>
          <w:i/>
          <w:iCs/>
        </w:rPr>
        <w:t>p</w:t>
      </w:r>
      <w:r>
        <w:t>-value (</w:t>
      </w:r>
      <w:r>
        <w:rPr>
          <w:i/>
          <w:iCs/>
        </w:rPr>
        <w:t>pd-p</w:t>
      </w:r>
      <w:r>
        <w:t xml:space="preserve"> in the tables) can be interpreted as the proportion of the posterior distribution on the opposite side of zero from the median, thus small values of </w:t>
      </w:r>
      <w:r>
        <w:rPr>
          <w:i/>
          <w:iCs/>
        </w:rPr>
        <w:t>pd-p</w:t>
      </w:r>
      <w:r>
        <w:t xml:space="preserve"> reflect high confidence in the effect direction of the </w:t>
      </w:r>
      <w:r>
        <w:rPr>
          <w:i/>
          <w:iCs/>
        </w:rPr>
        <w:t>b</w:t>
      </w:r>
      <w:r>
        <w:t xml:space="preserve"> estimate (Makowski, Ben-Shachar, and Lüdecke 2019; Makowski et al. 2019).</w:t>
      </w:r>
    </w:p>
    <w:p w14:paraId="22405A4E" w14:textId="77777777" w:rsidR="00846DAE" w:rsidRDefault="00000000">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As such, fixed effects for language reflect predicted differences between English and Japanese for individuals with MLD-A and MLD-P scores of 0. Interaction terms reflect differences in estimates between English and Japanese across the range of MLD-A and MLD-P values. In the following </w:t>
      </w:r>
      <w:r>
        <w:lastRenderedPageBreak/>
        <w:t xml:space="preserve">sections, I describe the results of the predictors on each outcome variable, and I focus on the interaction terms between MLD scores and language, visualized in Figure </w:t>
      </w:r>
      <w:hyperlink w:anchor="st1-cond-effs">
        <w:r>
          <w:fldChar w:fldCharType="begin"/>
        </w:r>
        <w:r>
          <w:instrText xml:space="preserve"> REF st1-cond-effs \h</w:instrText>
        </w:r>
        <w:r w:rsidR="001F3BE0">
          <w:fldChar w:fldCharType="separate"/>
        </w:r>
        <w:r w:rsidR="001F3BE0">
          <w:rPr>
            <w:b/>
            <w:noProof/>
          </w:rPr>
          <w:t>11</w:t>
        </w:r>
        <w:r>
          <w:fldChar w:fldCharType="end"/>
        </w:r>
      </w:hyperlink>
      <w:r>
        <w:t>, to address the research question.</w:t>
      </w:r>
    </w:p>
    <w:p w14:paraId="19D5172A" w14:textId="77777777" w:rsidR="00846DAE" w:rsidRDefault="00000000" w:rsidP="001F3BE0">
      <w:pPr>
        <w:pStyle w:val="TableCaption"/>
      </w:pPr>
      <w:r>
        <w:rPr>
          <w:b/>
        </w:rPr>
        <w:t xml:space="preserve">Table </w:t>
      </w:r>
      <w:bookmarkStart w:id="30" w:name="st1-multi-fixedeff"/>
      <w:r>
        <w:rPr>
          <w:b/>
        </w:rPr>
        <w:fldChar w:fldCharType="begin"/>
      </w:r>
      <w:r>
        <w:rPr>
          <w:b/>
        </w:rPr>
        <w:instrText>SEQ tab \* Arabic</w:instrText>
      </w:r>
      <w:r w:rsidR="001F3BE0">
        <w:rPr>
          <w:b/>
        </w:rPr>
        <w:fldChar w:fldCharType="separate"/>
      </w:r>
      <w:r w:rsidR="001F3BE0">
        <w:rPr>
          <w:b/>
          <w:noProof/>
        </w:rPr>
        <w:t>5</w:t>
      </w:r>
      <w:r>
        <w:rPr>
          <w:b/>
        </w:rPr>
        <w:fldChar w:fldCharType="end"/>
      </w:r>
      <w:bookmarkEnd w:id="30"/>
      <w:r>
        <w:rPr>
          <w:b/>
        </w:rPr>
        <w:t xml:space="preserve">: </w:t>
      </w:r>
      <w:r>
        <w:t>Multivariate Bayesian mixed-effect model on the outcome variables of slope, response variability, and theta: Posterior distribution median estimate, 95% credible interval (CI), and probability of direction (pd)-based p-values of predictor main effects and interactions for each outcome variable.</w:t>
      </w:r>
    </w:p>
    <w:tbl>
      <w:tblPr>
        <w:tblW w:w="0" w:type="pct"/>
        <w:jc w:val="center"/>
        <w:tblLook w:val="0420" w:firstRow="1" w:lastRow="0" w:firstColumn="0" w:lastColumn="0" w:noHBand="0" w:noVBand="1"/>
      </w:tblPr>
      <w:tblGrid>
        <w:gridCol w:w="2919"/>
        <w:gridCol w:w="1031"/>
        <w:gridCol w:w="1447"/>
        <w:gridCol w:w="604"/>
      </w:tblGrid>
      <w:tr w:rsidR="00846DAE" w14:paraId="7E369AE1"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65BE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0AF3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Estimate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2ECC5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60F22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i/>
                <w:color w:val="000000"/>
                <w:sz w:val="22"/>
                <w:szCs w:val="22"/>
              </w:rPr>
            </w:pPr>
            <w:r>
              <w:rPr>
                <w:rFonts w:eastAsia="MS Mincho" w:hAnsi="Helvetica" w:cs="Helvetica"/>
                <w:b/>
                <w:i/>
                <w:color w:val="000000"/>
                <w:sz w:val="22"/>
                <w:szCs w:val="22"/>
              </w:rPr>
              <w:t>pd-p</w:t>
            </w:r>
          </w:p>
        </w:tc>
      </w:tr>
      <w:tr w:rsidR="00846DAE" w14:paraId="39405029" w14:textId="77777777">
        <w:trPr>
          <w:cantSplit/>
          <w:jc w:val="center"/>
        </w:trPr>
        <w:tc>
          <w:tcPr>
            <w:tcW w:w="0" w:type="auto"/>
            <w:gridSpan w:val="4"/>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E0AC5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Slope</w:t>
            </w:r>
          </w:p>
        </w:tc>
      </w:tr>
      <w:tr w:rsidR="00846DAE" w14:paraId="32512286"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50047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C845A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263F8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  1.05]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60595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w:t>
            </w:r>
          </w:p>
        </w:tc>
      </w:tr>
      <w:tr w:rsidR="00846DAE" w14:paraId="18BED028"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A62B1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CF3AD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101F5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0.39]</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8F4E6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r>
      <w:tr w:rsidR="00846DAE" w14:paraId="3EBEE598"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445E1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DB07E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CAF78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[-1.62,  0.95]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86718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r>
      <w:tr w:rsidR="00846DAE" w14:paraId="3141F2DB"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7ADAF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2F6BB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44C6A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0.26]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85560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846DAE" w14:paraId="36E0DA93"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0E8AC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EE0E1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9F6B7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0.03]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EB59C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r>
      <w:tr w:rsidR="00846DAE" w14:paraId="382ED5DD"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2E0FB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1DE94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8AFDC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[ 0.08,  1.08]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36322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846DAE" w14:paraId="67FCD968" w14:textId="77777777">
        <w:trPr>
          <w:cantSplit/>
          <w:jc w:val="center"/>
        </w:trPr>
        <w:tc>
          <w:tcPr>
            <w:tcW w:w="0" w:type="auto"/>
            <w:gridSpan w:val="4"/>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CF550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Response Variability</w:t>
            </w:r>
          </w:p>
        </w:tc>
      </w:tr>
      <w:tr w:rsidR="00846DAE" w14:paraId="3A4B2B1E"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2D67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D89DF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17.82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30166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[13.87, 22.17]</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D8E80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w:t>
            </w:r>
          </w:p>
        </w:tc>
      </w:tr>
      <w:tr w:rsidR="00846DAE" w14:paraId="22146928"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C1E30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30830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1F6F7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[-2.22,  1.20]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03425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r>
      <w:tr w:rsidR="00846DAE" w14:paraId="46D310BF"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12F8C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DF9F1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E6642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[-2.45,  4.33]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9C4A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w:t>
            </w:r>
          </w:p>
        </w:tc>
      </w:tr>
      <w:tr w:rsidR="00846DAE" w14:paraId="77C9D210"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3658A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F42D1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7312E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[-2.65,  2.33]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A8838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r>
      <w:tr w:rsidR="00846DAE" w14:paraId="31E59C69"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8CA6B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E4EB3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21497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  2.78]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0B5C6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r>
      <w:tr w:rsidR="00846DAE" w14:paraId="70648179"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AE47A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00A86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48D76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[-3.17,  1.41]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7D34E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r>
      <w:tr w:rsidR="00846DAE" w14:paraId="44894598" w14:textId="77777777">
        <w:trPr>
          <w:cantSplit/>
          <w:jc w:val="center"/>
        </w:trPr>
        <w:tc>
          <w:tcPr>
            <w:tcW w:w="0" w:type="auto"/>
            <w:gridSpan w:val="4"/>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C7F83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Theta</w:t>
            </w:r>
          </w:p>
        </w:tc>
      </w:tr>
      <w:tr w:rsidR="00846DAE" w14:paraId="0E6F74E3"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3FB13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7F1C8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2.71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76E0D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[-7.62, 13.15]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9CFBA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w:t>
            </w:r>
          </w:p>
        </w:tc>
      </w:tr>
      <w:tr w:rsidR="00846DAE" w14:paraId="7A6464C4"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E3F0E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9E5A0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EFFB7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[-1.81,  1.38]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8F881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846DAE" w14:paraId="6FA91F95"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7ABCE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AE899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E065C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[-2.18,  1.69]</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AE596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846DAE" w14:paraId="050208A0"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2D7C6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0B77F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06A0D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[-1.64,  1.96]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561F7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846DAE" w14:paraId="2866F282"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11A74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4B681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E552F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[-1.67,  1.87]</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AD677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r>
      <w:tr w:rsidR="00846DAE" w14:paraId="73465111"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723A8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3AE8B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FF62E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1.66]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81A29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846DAE" w14:paraId="161C3790" w14:textId="77777777">
        <w:trPr>
          <w:cantSplit/>
          <w:jc w:val="center"/>
        </w:trPr>
        <w:tc>
          <w:tcPr>
            <w:tcW w:w="0" w:type="auto"/>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A0E273"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38C4470" w14:textId="77777777" w:rsidR="00846DAE" w:rsidRDefault="00000000">
      <w:pPr>
        <w:pStyle w:val="BodyText"/>
      </w:pPr>
      <w:r>
        <w:t xml:space="preserve">Table </w:t>
      </w:r>
      <w:hyperlink w:anchor="st1-multi-raneff">
        <w:r>
          <w:fldChar w:fldCharType="begin"/>
        </w:r>
        <w:r>
          <w:instrText xml:space="preserve"> REF st1-multi-raneff \h</w:instrText>
        </w:r>
        <w:r w:rsidR="001F3BE0">
          <w:fldChar w:fldCharType="separate"/>
        </w:r>
        <w:r w:rsidR="001F3BE0">
          <w:rPr>
            <w:b/>
            <w:bCs/>
          </w:rPr>
          <w:t>Error! Reference source not found.</w:t>
        </w:r>
        <w:r>
          <w:fldChar w:fldCharType="end"/>
        </w:r>
      </w:hyperlink>
      <w:r>
        <w:t xml:space="preserve"> presents a summary of the random effects for each outcome variable, including the standard deviation estimates and 95% CI for the random intercepts for pairs, the random slopes and intercepts for ID and their correlations, and the residual standard deviations (sigma) for each outcome variable, or the remaining variance unexplained by the fixed and random effects. Also included are the residual correlations between the three outcome </w:t>
      </w:r>
      <w:r>
        <w:lastRenderedPageBreak/>
        <w:t>variables, and the Bayesian R</w:t>
      </w:r>
      <w:r>
        <w:rPr>
          <w:vertAlign w:val="superscript"/>
        </w:rPr>
        <w:t>2</w:t>
      </w:r>
      <w:r>
        <w:t xml:space="preserve"> estimate with 95% quantile, which is a probabilistic measure of how well the model fits the data for each outcome variable (Gelman et al. 2019). The residual correlation was moderately negative between slope and response variability, weak-to-moderately correlated between response variability and theta, and negligible between slope and theta. The modest but non-negligible residual correlations support the use of the multivariate model over multiple univariate models.</w:t>
      </w:r>
    </w:p>
    <w:p w14:paraId="472A4E36" w14:textId="77777777" w:rsidR="00846DAE" w:rsidRDefault="00000000">
      <w:pPr>
        <w:pStyle w:val="SourceCode"/>
      </w:pPr>
      <w:r>
        <w:rPr>
          <w:rStyle w:val="VerbatimChar"/>
        </w:rPr>
        <w:t>## [1] "placeholder"</w:t>
      </w:r>
    </w:p>
    <w:p w14:paraId="3D073912" w14:textId="77777777" w:rsidR="00846DAE" w:rsidRDefault="00000000">
      <w:pPr>
        <w:pStyle w:val="Figure"/>
        <w:jc w:val="center"/>
      </w:pPr>
      <w:r>
        <w:rPr>
          <w:noProof/>
        </w:rPr>
        <w:drawing>
          <wp:inline distT="0" distB="0" distL="0" distR="0" wp14:anchorId="4A1A5D59" wp14:editId="707BF832">
            <wp:extent cx="4572000"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63500" cy="50800"/>
                    </a:xfrm>
                    <a:prstGeom prst="rect">
                      <a:avLst/>
                    </a:prstGeom>
                    <a:noFill/>
                  </pic:spPr>
                </pic:pic>
              </a:graphicData>
            </a:graphic>
          </wp:inline>
        </w:drawing>
      </w:r>
    </w:p>
    <w:p w14:paraId="59253E01" w14:textId="77777777" w:rsidR="00846DAE" w:rsidRDefault="00000000">
      <w:pPr>
        <w:pStyle w:val="ImageCaption"/>
      </w:pPr>
      <w:r>
        <w:rPr>
          <w:b/>
        </w:rPr>
        <w:t xml:space="preserve">Figure </w:t>
      </w:r>
      <w:bookmarkStart w:id="31" w:name="st1-cond-effs"/>
      <w:r>
        <w:rPr>
          <w:b/>
        </w:rPr>
        <w:fldChar w:fldCharType="begin"/>
      </w:r>
      <w:r>
        <w:rPr>
          <w:b/>
        </w:rPr>
        <w:instrText>SEQ fig \* Arabic</w:instrText>
      </w:r>
      <w:r w:rsidR="001F3BE0">
        <w:rPr>
          <w:b/>
        </w:rPr>
        <w:fldChar w:fldCharType="separate"/>
      </w:r>
      <w:r w:rsidR="001F3BE0">
        <w:rPr>
          <w:b/>
          <w:noProof/>
        </w:rPr>
        <w:t>11</w:t>
      </w:r>
      <w:r>
        <w:rPr>
          <w:b/>
        </w:rPr>
        <w:fldChar w:fldCharType="end"/>
      </w:r>
      <w:bookmarkEnd w:id="31"/>
      <w:r>
        <w:rPr>
          <w:b/>
        </w:rPr>
        <w:t xml:space="preserve">: </w:t>
      </w:r>
      <w:r>
        <w:t>Conditional effects of MLD-A (left panels) and MLD-P (right panels) on VAS slope (top row), response variability (middle row), and theta (bottom row) for L1 English and L2 Japanese.</w:t>
      </w:r>
    </w:p>
    <w:p w14:paraId="04C89DBC" w14:textId="77777777" w:rsidR="00846DAE" w:rsidRDefault="00000000">
      <w:pPr>
        <w:pStyle w:val="Heading4"/>
      </w:pPr>
      <w:bookmarkStart w:id="32" w:name="st1-slope-outcomes"/>
      <w:r>
        <w:t>Effect of predictors on VAS slope</w:t>
      </w:r>
    </w:p>
    <w:p w14:paraId="1F57E1F5" w14:textId="77777777" w:rsidR="00846DAE" w:rsidRDefault="00000000">
      <w:pPr>
        <w:pStyle w:val="FirstParagraph"/>
      </w:pPr>
      <w:r>
        <w:t xml:space="preserve">The 95% credible intervals (CIs) for the posterior estimates of MLD-A, MLD-P, and language all included zero, indicating no strong evidence for independent effects of these predictors on VAS </w:t>
      </w:r>
      <w:r>
        <w:lastRenderedPageBreak/>
        <w:t>slope. Consequently, the fixed and interaction effects are interpreted cautiously as trends rather than definitive effects.</w:t>
      </w:r>
    </w:p>
    <w:p w14:paraId="09843160" w14:textId="77777777" w:rsidR="00846DAE" w:rsidRDefault="00000000">
      <w:pPr>
        <w:pStyle w:val="BodyText"/>
      </w:pPr>
      <w:r>
        <w:t>The intercept estimate represented the predicted VAS slope for VAS responses to the English contrasts when MLD-A = 0 and MLD-P = 0. Although not statistically robust, the intercept estimate (</w:t>
      </w:r>
      <w:r>
        <w:rPr>
          <w:i/>
          <w:iCs/>
        </w:rPr>
        <w:t>b</w:t>
      </w:r>
      <w:r>
        <w:t xml:space="preserve"> = -0.12, 95% CI = [-1.48, 1.05]) indicated a baseline trend of slightly shallower VAS slopes against which the estimates of the fixed and interaction effects were compared.</w:t>
      </w:r>
    </w:p>
    <w:p w14:paraId="2F66DA49" w14:textId="77777777" w:rsidR="00846DAE" w:rsidRDefault="00000000">
      <w:pPr>
        <w:pStyle w:val="BodyText"/>
      </w:pPr>
      <w:r>
        <w:t>While not statistically robust, the estimated main effects suggested some directional patterns. Specifically, higher MLD-A scores were associated with slightly steeper VAS slopes (</w:t>
      </w:r>
      <w:r>
        <w:rPr>
          <w:i/>
          <w:iCs/>
        </w:rPr>
        <w:t>b</w:t>
      </w:r>
      <w:r>
        <w:t xml:space="preserve"> = 0.13, 95% CI =[-0.11, 0.39]) whereas higher MLD-P scores showed a trend toward slightly shallower slopes (</w:t>
      </w:r>
      <w:r>
        <w:rPr>
          <w:i/>
          <w:iCs/>
        </w:rPr>
        <w:t>b</w:t>
      </w:r>
      <w:r>
        <w:t xml:space="preserve"> = -0.14, 95% CI [-0.55, 0.26]). Additionally, for individuals with MLD-A and MLD-P scores of zero, responses to the Japanese contrast pairs trended toward shallower VAS slopes compared to English (</w:t>
      </w:r>
      <w:r>
        <w:rPr>
          <w:i/>
          <w:iCs/>
        </w:rPr>
        <w:t>b</w:t>
      </w:r>
      <w:r>
        <w:t xml:space="preserve"> = -0.42, 95% CI [-1.62, 0.95]).</w:t>
      </w:r>
    </w:p>
    <w:p w14:paraId="17D0F505" w14:textId="77777777" w:rsidR="00846DAE" w:rsidRDefault="00000000">
      <w:pPr>
        <w:pStyle w:val="BodyText"/>
      </w:pPr>
      <w:r>
        <w:t>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b</w:t>
      </w:r>
      <w:r>
        <w:t xml:space="preserve"> = –0.29, 95% CI [-0.60, 0.03], </w:t>
      </w:r>
      <w:r>
        <w:rPr>
          <w:i/>
          <w:iCs/>
        </w:rPr>
        <w:t>pd-p</w:t>
      </w:r>
      <w:r>
        <w:t xml:space="preserve"> = 0.08). Although the 95% CI narrowly included zero, this suggests weak evidence for a negative interaction effect, though the </w:t>
      </w:r>
      <w:r>
        <w:rPr>
          <w:i/>
          <w:iCs/>
        </w:rPr>
        <w:t>pd-p</w:t>
      </w:r>
      <w:r>
        <w:t xml:space="preserve"> value does not meet conventional frequentist thresholds for significance when </w:t>
      </w:r>
      <m:oMath>
        <m:r>
          <w:rPr>
            <w:rFonts w:ascii="Cambria Math" w:hAnsi="Cambria Math"/>
          </w:rPr>
          <m:t>α</m:t>
        </m:r>
      </m:oMath>
      <w:r>
        <w:t xml:space="preserve"> = 0.05. Keeping in mind the weak support for the effect’s direction, the estimated interaction suggests that MLD-A predicted VAS slope differently across L1 and L2. Figure </w:t>
      </w:r>
      <w:hyperlink w:anchor="st1-cond-effs">
        <w:r>
          <w:fldChar w:fldCharType="begin"/>
        </w:r>
        <w:r>
          <w:instrText xml:space="preserve"> REF st1-cond-effs \h</w:instrText>
        </w:r>
        <w:r w:rsidR="001F3BE0">
          <w:fldChar w:fldCharType="separate"/>
        </w:r>
        <w:r w:rsidR="001F3BE0">
          <w:rPr>
            <w:b/>
            <w:noProof/>
          </w:rPr>
          <w:t>11</w:t>
        </w:r>
        <w:r>
          <w:fldChar w:fldCharType="end"/>
        </w:r>
      </w:hyperlink>
      <w:r>
        <w:t xml:space="preserve">A shows the conditional effects for MLD-A on VAS slopes for each language level; for the Japanese contrasts, </w:t>
      </w:r>
      <w:r>
        <w:lastRenderedPageBreak/>
        <w:t xml:space="preserve">a one unit increase MLD-A scores predicted a 0.16 unit </w:t>
      </w:r>
      <w:r>
        <w:rPr>
          <w:i/>
          <w:iCs/>
        </w:rPr>
        <w:t>decrease</w:t>
      </w:r>
      <w:r>
        <w:t xml:space="preserve"> (</w:t>
      </w:r>
      <w:r>
        <w:rPr>
          <w:i/>
          <w:iCs/>
        </w:rPr>
        <w:t>b</w:t>
      </w:r>
      <w:r>
        <w:t xml:space="preserve"> = -0.16, 95% CI [ -0.49, 0.19])</w:t>
      </w:r>
      <w:r>
        <w:rPr>
          <w:rStyle w:val="FootnoteReference"/>
        </w:rPr>
        <w:footnoteReference w:id="4"/>
      </w:r>
      <w:r>
        <w:t xml:space="preserve"> in VAS slopes, in contrast to VAS slopes for English, which had a slightly positive trend, as indicated by the MLD-A fixed effect (</w:t>
      </w:r>
      <w:r>
        <w:rPr>
          <w:i/>
          <w:iCs/>
        </w:rPr>
        <w:t>b</w:t>
      </w:r>
      <w:r>
        <w:t xml:space="preserve"> = 0.13, 95% CI =[-0.11, 0.39]).</w:t>
      </w:r>
    </w:p>
    <w:p w14:paraId="465473C5" w14:textId="77777777" w:rsidR="00846DAE" w:rsidRDefault="00000000">
      <w:pPr>
        <w:pStyle w:val="BodyText"/>
      </w:pPr>
      <w:r>
        <w:t>Similarly, the interaction between MLD-P and language suggests that MLD-P predicted VAS slope differently across L1 and L2, with moderate evidence for a positive interaction effect (</w:t>
      </w:r>
      <w:r>
        <w:rPr>
          <w:i/>
          <w:iCs/>
        </w:rPr>
        <w:t>b</w:t>
      </w:r>
      <w:r>
        <w:t xml:space="preserve"> = 0.56, 95% CI [0.08, 1.08], </w:t>
      </w:r>
      <w:r>
        <w:rPr>
          <w:i/>
          <w:iCs/>
        </w:rPr>
        <w:t>pd-p</w:t>
      </w:r>
      <w:r>
        <w:t xml:space="preserve"> = 0.03). The 95% CI excluded zero, supporting a slightly more robust effect. This interaction trend indicates that MLD-P predicted a 0.56 unit increase in VAS slope for Japanese contrasts compared to English. Figure </w:t>
      </w:r>
      <w:hyperlink w:anchor="st1-cond-effs">
        <w:r>
          <w:fldChar w:fldCharType="begin"/>
        </w:r>
        <w:r>
          <w:instrText xml:space="preserve"> REF st1-cond-effs \h</w:instrText>
        </w:r>
        <w:r w:rsidR="001F3BE0">
          <w:fldChar w:fldCharType="separate"/>
        </w:r>
        <w:r w:rsidR="001F3BE0">
          <w:rPr>
            <w:b/>
            <w:noProof/>
          </w:rPr>
          <w:t>11</w:t>
        </w:r>
        <w:r>
          <w:fldChar w:fldCharType="end"/>
        </w:r>
      </w:hyperlink>
      <w:r>
        <w:t>B shows the conditional effects of MLD-P on VAS slopes between the two language levels; for the Japanese contrasts, a one unit increase in MLD-P scores predicted a 0.42 unit increase (</w:t>
      </w:r>
      <w:r>
        <w:rPr>
          <w:i/>
          <w:iCs/>
        </w:rPr>
        <w:t>b</w:t>
      </w:r>
      <w:r>
        <w:t xml:space="preserve"> = 0.42 95% CI [-0.12, 0.93] in VAS slopes, in contrast to VAS slopes for English, which had a slightly negative trend, as indicated by the MLD-P fixed effect (</w:t>
      </w:r>
      <w:r>
        <w:rPr>
          <w:i/>
          <w:iCs/>
        </w:rPr>
        <w:t>b</w:t>
      </w:r>
      <w:r>
        <w:t xml:space="preserve"> = -0.14, 95% CI [-0.55, 0.26]).</w:t>
      </w:r>
    </w:p>
    <w:p w14:paraId="30EA13D3" w14:textId="77777777" w:rsidR="00846DAE" w:rsidRDefault="00000000">
      <w:pPr>
        <w:pStyle w:val="BodyText"/>
      </w:pPr>
      <w:r>
        <w:t>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p w14:paraId="1F075587" w14:textId="77777777" w:rsidR="00846DAE" w:rsidRDefault="00000000">
      <w:pPr>
        <w:pStyle w:val="Heading4"/>
      </w:pPr>
      <w:bookmarkStart w:id="33" w:name="st1-var-outcomes"/>
      <w:bookmarkEnd w:id="32"/>
      <w:r>
        <w:t>Effect of predictors on response variability</w:t>
      </w:r>
    </w:p>
    <w:p w14:paraId="7768E7A4" w14:textId="77777777" w:rsidR="00846DAE" w:rsidRDefault="00000000">
      <w:pPr>
        <w:pStyle w:val="FirstParagraph"/>
      </w:pPr>
      <w:r>
        <w:t xml:space="preserve">Here too, the 95% CIs for the posterior estimates of MLD-A, MLD-P, and language all included zero, indicating no strong evidence for independent effects of these predictors on response </w:t>
      </w:r>
      <w:r>
        <w:lastRenderedPageBreak/>
        <w:t>variability. As before, the fixed and interaction effects are interpreted cautiously as trends rather than definitive effects.</w:t>
      </w:r>
    </w:p>
    <w:p w14:paraId="0E8B8959" w14:textId="77777777" w:rsidR="00846DAE" w:rsidRDefault="00000000">
      <w:pPr>
        <w:pStyle w:val="BodyText"/>
      </w:pPr>
      <w:r>
        <w:t>The intercept estimate (</w:t>
      </w:r>
      <w:r>
        <w:rPr>
          <w:i/>
          <w:iCs/>
        </w:rPr>
        <w:t>b</w:t>
      </w:r>
      <w:r>
        <w:t xml:space="preserve"> = 17.82, 95% CI [13.87, 22.17]) represented the predicted response variability for VAS responses to the English contrasts when MLD-A = 0 and MLD-P = 0. Although the 95% CI does not contain zero, resulting in a </w:t>
      </w:r>
      <w:r>
        <w:rPr>
          <w:i/>
          <w:iCs/>
        </w:rPr>
        <w:t>pd-p</w:t>
      </w:r>
      <w:r>
        <w:t xml:space="preserve"> 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14:paraId="1A20DE19" w14:textId="77777777" w:rsidR="00846DAE" w:rsidRDefault="00000000">
      <w:pPr>
        <w:pStyle w:val="BodyText"/>
      </w:pPr>
      <w:r>
        <w:t>In line with the main effects, the interaction estimates were not statistically robust. The interaction between MLD-A and language showed weak evidence of an effect (</w:t>
      </w:r>
      <w:r>
        <w:rPr>
          <w:i/>
          <w:iCs/>
        </w:rPr>
        <w:t>b</w:t>
      </w:r>
      <w:r>
        <w:t xml:space="preserve"> = 1.26 95% CI [-0.42, 2.78], </w:t>
      </w:r>
      <w:r>
        <w:rPr>
          <w:i/>
          <w:iCs/>
        </w:rPr>
        <w:t>pd-p</w:t>
      </w:r>
      <w:r>
        <w:t xml:space="preserve"> = 0.13), suggesting a possible trend that MLD-A scores may differentially predict response variability in L1 and L2. As shown in Figure </w:t>
      </w:r>
      <w:hyperlink w:anchor="st1-cond-effs">
        <w:r>
          <w:fldChar w:fldCharType="begin"/>
        </w:r>
        <w:r>
          <w:instrText xml:space="preserve"> REF st1-cond-effs \h</w:instrText>
        </w:r>
        <w:r w:rsidR="001F3BE0">
          <w:fldChar w:fldCharType="separate"/>
        </w:r>
        <w:r w:rsidR="001F3BE0">
          <w:rPr>
            <w:b/>
            <w:noProof/>
          </w:rPr>
          <w:t>11</w:t>
        </w:r>
        <w:r>
          <w:fldChar w:fldCharType="end"/>
        </w:r>
      </w:hyperlink>
      <w:r>
        <w:t>C, higher MLD-A scores were associated with increased response variability for the Japanese contrasts, whereas the trend for English was slightly negative.</w:t>
      </w:r>
    </w:p>
    <w:p w14:paraId="79F5127C" w14:textId="77777777" w:rsidR="00846DAE" w:rsidRDefault="00000000">
      <w:pPr>
        <w:pStyle w:val="BodyText"/>
      </w:pPr>
      <w:r>
        <w:t>The interaction between MLD-P and language showed no evidence of a meaningful effect (</w:t>
      </w:r>
      <w:r>
        <w:rPr>
          <w:i/>
          <w:iCs/>
        </w:rPr>
        <w:t>b</w:t>
      </w:r>
      <w:r>
        <w:t xml:space="preserve"> = -0.91, 95% CI [-3.17, 1.41], </w:t>
      </w:r>
      <w:r>
        <w:rPr>
          <w:i/>
          <w:iCs/>
        </w:rPr>
        <w:t>pd-p</w:t>
      </w:r>
      <w:r>
        <w:t xml:space="preserve"> = 0.43). Although Figure </w:t>
      </w:r>
      <w:hyperlink w:anchor="st1-cond-effs">
        <w:r>
          <w:fldChar w:fldCharType="begin"/>
        </w:r>
        <w:r>
          <w:instrText xml:space="preserve"> REF st1-cond-effs \h</w:instrText>
        </w:r>
        <w:r w:rsidR="001F3BE0">
          <w:fldChar w:fldCharType="separate"/>
        </w:r>
        <w:r w:rsidR="001F3BE0">
          <w:rPr>
            <w:b/>
            <w:noProof/>
          </w:rPr>
          <w:t>11</w:t>
        </w:r>
        <w:r>
          <w:fldChar w:fldCharType="end"/>
        </w:r>
      </w:hyperlink>
      <w:r>
        <w:t>D seems to visually display a potential convergence pattern, in which higher MLD-P scores predict reduced response variability for Japanese to align more closely with that of English, the level of uncertainty prohibits a confident interpretation of this pattern.</w:t>
      </w:r>
    </w:p>
    <w:p w14:paraId="49D32219" w14:textId="77777777" w:rsidR="00846DAE" w:rsidRDefault="00000000">
      <w:pPr>
        <w:pStyle w:val="Heading4"/>
      </w:pPr>
      <w:bookmarkStart w:id="34" w:name="st1-theta-outcomes"/>
      <w:bookmarkEnd w:id="33"/>
      <w:r>
        <w:t>Effect of predictors on secondary cue use</w:t>
      </w:r>
    </w:p>
    <w:p w14:paraId="43CFE715" w14:textId="77777777" w:rsidR="00846DAE" w:rsidRDefault="00000000">
      <w:pPr>
        <w:pStyle w:val="FirstParagraph"/>
      </w:pPr>
      <w:r>
        <w:t xml:space="preserve">The model predicting secondary cue use did not yield strong evidence for any fixed or interaction effects. The 95% credible intervals for all estimates, including the intercept, MLD-A, MLD-P, language, and their interactions, overlapped with zero, and all </w:t>
      </w:r>
      <w:r>
        <w:rPr>
          <w:i/>
          <w:iCs/>
        </w:rPr>
        <w:t>pd-p</w:t>
      </w:r>
      <w:r>
        <w:t xml:space="preserve"> values were above 0.50, </w:t>
      </w:r>
      <w:r>
        <w:lastRenderedPageBreak/>
        <w:t xml:space="preserve">indicating high uncertainty. Figure </w:t>
      </w:r>
      <w:hyperlink w:anchor="st1-cond-effs">
        <w:r>
          <w:fldChar w:fldCharType="begin"/>
        </w:r>
        <w:r>
          <w:instrText xml:space="preserve"> REF st1-cond-effs \h</w:instrText>
        </w:r>
        <w:r w:rsidR="001F3BE0">
          <w:fldChar w:fldCharType="separate"/>
        </w:r>
        <w:r w:rsidR="001F3BE0">
          <w:rPr>
            <w:b/>
            <w:noProof/>
          </w:rPr>
          <w:t>11</w:t>
        </w:r>
        <w:r>
          <w:fldChar w:fldCharType="end"/>
        </w:r>
      </w:hyperlink>
      <w:r>
        <w:t xml:space="preserve"> (bottom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w:t>
      </w:r>
    </w:p>
    <w:p w14:paraId="19E0EDD8" w14:textId="77777777" w:rsidR="00846DAE" w:rsidRDefault="00000000">
      <w:pPr>
        <w:pStyle w:val="BodyText"/>
      </w:pPr>
      <w:r>
        <w:t xml:space="preserve">Table </w:t>
      </w:r>
      <w:hyperlink w:anchor="st1-posthoc-fixef">
        <w:r>
          <w:fldChar w:fldCharType="begin"/>
        </w:r>
        <w:r>
          <w:instrText xml:space="preserve"> REF st1-posthoc-fixef \h</w:instrText>
        </w:r>
        <w:r w:rsidR="001F3BE0">
          <w:fldChar w:fldCharType="separate"/>
        </w:r>
        <w:r w:rsidR="001F3BE0">
          <w:rPr>
            <w:b/>
            <w:noProof/>
          </w:rPr>
          <w:t>6</w:t>
        </w:r>
        <w:r>
          <w:fldChar w:fldCharType="end"/>
        </w:r>
      </w:hyperlink>
      <w:r>
        <w:t xml:space="preserve"> presents the posterior estimates of the univariate models side-by-side. The table also presents random effects structure: Group-level standard deviations and correlation parameters with 95% credible interval (CI), population-level residual standard deviation (sigma) with 95% CI, and Bayes R</w:t>
      </w:r>
      <w:r>
        <w:rPr>
          <w:vertAlign w:val="superscript"/>
        </w:rPr>
        <w:t>2</w:t>
      </w:r>
      <w:r>
        <w:t xml:space="preserve"> with 95% quantile. It should be noted that the number of observations differed between the subsets of data for the positive and negative ranges of theta, with n = 182 for the positive range of theta and n = 122 for the negative range of theta.</w:t>
      </w:r>
    </w:p>
    <w:p w14:paraId="65112972" w14:textId="77777777" w:rsidR="00846DAE" w:rsidRDefault="00000000">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CIs excluding zero, nor were any trends of effect directionality supported by the </w:t>
      </w:r>
      <w:r>
        <w:rPr>
          <w:i/>
          <w:iCs/>
        </w:rPr>
        <w:t>pd-p</w:t>
      </w:r>
      <w:r>
        <w:t xml:space="preserve"> values. Further, while Figures </w:t>
      </w:r>
      <w:hyperlink w:anchor="st1-posthoc-cond-eff">
        <w:r>
          <w:fldChar w:fldCharType="begin"/>
        </w:r>
        <w:r>
          <w:instrText xml:space="preserve"> REF st1-posthoc-cond-eff \h</w:instrText>
        </w:r>
        <w:r w:rsidR="001F3BE0">
          <w:fldChar w:fldCharType="separate"/>
        </w:r>
        <w:r w:rsidR="001F3BE0">
          <w:rPr>
            <w:b/>
            <w:noProof/>
          </w:rPr>
          <w:t>12</w:t>
        </w:r>
        <w:r>
          <w:fldChar w:fldCharType="end"/>
        </w:r>
      </w:hyperlink>
      <w:r>
        <w:t>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14:paraId="5E6FDA2C" w14:textId="77777777" w:rsidR="00846DAE" w:rsidRDefault="00000000">
      <w:pPr>
        <w:pStyle w:val="BodyText"/>
      </w:pPr>
      <w:r>
        <w:t xml:space="preserve">Similarly, in the model restricted to negative theta values (i.e. responses suggesting reversed categorization in one or both dimensions), all fixed effect estimates had 95% CIs that overlapped with zero and high </w:t>
      </w:r>
      <w:r>
        <w:rPr>
          <w:i/>
          <w:iCs/>
        </w:rPr>
        <w:t>pd-p</w:t>
      </w:r>
      <w:r>
        <w:t xml:space="preserve"> values, again suggesting no robust effects. In this case, Figures </w:t>
      </w:r>
      <w:hyperlink w:anchor="st1-posthoc-cond-eff">
        <w:r>
          <w:fldChar w:fldCharType="begin"/>
        </w:r>
        <w:r>
          <w:instrText xml:space="preserve"> REF st1-posthoc-cond-eff \h</w:instrText>
        </w:r>
        <w:r w:rsidR="001F3BE0">
          <w:fldChar w:fldCharType="separate"/>
        </w:r>
        <w:r w:rsidR="001F3BE0">
          <w:rPr>
            <w:b/>
            <w:noProof/>
          </w:rPr>
          <w:t>12</w:t>
        </w:r>
        <w:r>
          <w:fldChar w:fldCharType="end"/>
        </w:r>
      </w:hyperlink>
      <w:r>
        <w:t>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the evidence to support the hypothesis that experiential linguistic diversity predict secondary cue use in either L1 or L2.</w:t>
      </w:r>
    </w:p>
    <w:p w14:paraId="0411A913" w14:textId="77777777" w:rsidR="00846DAE" w:rsidRDefault="00000000" w:rsidP="001F3BE0">
      <w:pPr>
        <w:pStyle w:val="TableCaption"/>
      </w:pPr>
      <w:r>
        <w:rPr>
          <w:b/>
        </w:rPr>
        <w:t xml:space="preserve">Table </w:t>
      </w:r>
      <w:bookmarkStart w:id="35" w:name="st1-posthoc-fixef"/>
      <w:r>
        <w:rPr>
          <w:b/>
        </w:rPr>
        <w:fldChar w:fldCharType="begin"/>
      </w:r>
      <w:r>
        <w:rPr>
          <w:b/>
        </w:rPr>
        <w:instrText>SEQ tab \* Arabic</w:instrText>
      </w:r>
      <w:r w:rsidR="001F3BE0">
        <w:rPr>
          <w:b/>
        </w:rPr>
        <w:fldChar w:fldCharType="separate"/>
      </w:r>
      <w:r w:rsidR="001F3BE0">
        <w:rPr>
          <w:b/>
          <w:noProof/>
        </w:rPr>
        <w:t>6</w:t>
      </w:r>
      <w:r>
        <w:rPr>
          <w:b/>
        </w:rPr>
        <w:fldChar w:fldCharType="end"/>
      </w:r>
      <w:bookmarkEnd w:id="35"/>
      <w:r>
        <w:rPr>
          <w:b/>
        </w:rPr>
        <w:t xml:space="preserve">: </w:t>
      </w:r>
      <w:r>
        <w:t>Fixed and random effects of the univariate post-hoc analyses  on the positive and negative ranges of theta: Posterior distribution median estimate, 95% credible interval (CI), and probability of direction (pd)-based p-values of predictor main effects and interactions. NOTE: STILL NEED TO ADD RANDOM EFFECTS.</w:t>
      </w:r>
    </w:p>
    <w:tbl>
      <w:tblPr>
        <w:tblW w:w="0" w:type="pct"/>
        <w:jc w:val="center"/>
        <w:tblLook w:val="0420" w:firstRow="1" w:lastRow="0" w:firstColumn="0" w:lastColumn="0" w:noHBand="0" w:noVBand="1"/>
      </w:tblPr>
      <w:tblGrid>
        <w:gridCol w:w="2919"/>
        <w:gridCol w:w="1031"/>
        <w:gridCol w:w="1392"/>
        <w:gridCol w:w="604"/>
        <w:gridCol w:w="1031"/>
        <w:gridCol w:w="1484"/>
        <w:gridCol w:w="604"/>
      </w:tblGrid>
      <w:tr w:rsidR="00846DAE" w14:paraId="077FD6CB" w14:textId="77777777">
        <w:trPr>
          <w:cantSplit/>
          <w:tblHeader/>
          <w:jc w:val="center"/>
        </w:trPr>
        <w:tc>
          <w:tcPr>
            <w:tcW w:w="0" w:type="auto"/>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8FDE46"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E4EE8E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44934E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846DAE" w14:paraId="42DB1978" w14:textId="77777777">
        <w:trPr>
          <w:cantSplit/>
          <w:tblHeader/>
          <w:jc w:val="center"/>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FDEC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302A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A035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CI</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EA9F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B83F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31BD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CI</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EB60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846DAE" w14:paraId="3EDBB66E" w14:textId="77777777">
        <w:trPr>
          <w:cantSplit/>
          <w:jc w:val="center"/>
        </w:trPr>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6CD70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81F77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11.18</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006F5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[ 4.43, 18.03]</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BC634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3877C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-6.15</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56D10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[-13.11, -0.72]</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9CB51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846DAE" w14:paraId="11BBC6FD"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F25E9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23D5B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CBC2C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[-3.42,  1.63]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FBFD3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2E3EA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25BF4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-4.08,  5.10]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277B8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846DAE" w14:paraId="03406360"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CD87A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D96D1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3B661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[-9.59,  4.33]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C7A26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ADDF1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53A25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-8.61,  4.00]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878D3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w:t>
            </w:r>
          </w:p>
        </w:tc>
      </w:tr>
      <w:tr w:rsidR="00846DAE" w14:paraId="59FB5F74"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3113C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D13C3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01242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[-2.42,  4.69]</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D4381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78C15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9E118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-4.42,  6.12]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13499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r>
      <w:tr w:rsidR="00846DAE" w14:paraId="5F48F4FE"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89BC0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0059E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85AD3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[-2.15,  6.25]</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52D69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FF673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27E60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-5.73,  4.50]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B058B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846DAE" w14:paraId="6C459D19"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EBA62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5276B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A0518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[-9.02,  3.43]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653B4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9F0CD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BBB6D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-6.11,  5.76]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616AA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r>
      <w:tr w:rsidR="00846DAE" w14:paraId="761E5571" w14:textId="77777777">
        <w:trPr>
          <w:cantSplit/>
          <w:jc w:val="center"/>
        </w:trPr>
        <w:tc>
          <w:tcPr>
            <w:tcW w:w="0" w:type="auto"/>
            <w:gridSpan w:val="7"/>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5A8C1C4"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4C0B6B5" w14:textId="77777777" w:rsidR="00846DAE" w:rsidRDefault="00000000">
      <w:pPr>
        <w:pStyle w:val="Figure"/>
        <w:jc w:val="center"/>
      </w:pPr>
      <w:r>
        <w:rPr>
          <w:noProof/>
        </w:rPr>
        <w:drawing>
          <wp:inline distT="0" distB="0" distL="0" distR="0" wp14:anchorId="5EED8056" wp14:editId="58614BEA">
            <wp:extent cx="4572000" cy="3657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63500" cy="50800"/>
                    </a:xfrm>
                    <a:prstGeom prst="rect">
                      <a:avLst/>
                    </a:prstGeom>
                    <a:noFill/>
                  </pic:spPr>
                </pic:pic>
              </a:graphicData>
            </a:graphic>
          </wp:inline>
        </w:drawing>
      </w:r>
    </w:p>
    <w:p w14:paraId="702DEB62" w14:textId="77777777" w:rsidR="00846DAE" w:rsidRDefault="00000000">
      <w:pPr>
        <w:pStyle w:val="ImageCaption"/>
      </w:pPr>
      <w:r>
        <w:rPr>
          <w:b/>
        </w:rPr>
        <w:lastRenderedPageBreak/>
        <w:t xml:space="preserve">Figure </w:t>
      </w:r>
      <w:bookmarkStart w:id="36" w:name="st1-posthoc-cond-eff"/>
      <w:r>
        <w:rPr>
          <w:b/>
        </w:rPr>
        <w:fldChar w:fldCharType="begin"/>
      </w:r>
      <w:r>
        <w:rPr>
          <w:b/>
        </w:rPr>
        <w:instrText>SEQ fig \* Arabic</w:instrText>
      </w:r>
      <w:r w:rsidR="001F3BE0">
        <w:rPr>
          <w:b/>
        </w:rPr>
        <w:fldChar w:fldCharType="separate"/>
      </w:r>
      <w:r w:rsidR="001F3BE0">
        <w:rPr>
          <w:b/>
          <w:noProof/>
        </w:rPr>
        <w:t>12</w:t>
      </w:r>
      <w:r>
        <w:rPr>
          <w:b/>
        </w:rPr>
        <w:fldChar w:fldCharType="end"/>
      </w:r>
      <w:bookmarkEnd w:id="36"/>
      <w:r>
        <w:rPr>
          <w:b/>
        </w:rPr>
        <w:t xml:space="preserve">: </w:t>
      </w:r>
      <w:r>
        <w:t>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w:t>
      </w:r>
    </w:p>
    <w:p w14:paraId="2CAC0032" w14:textId="77777777" w:rsidR="00846DAE" w:rsidRDefault="00000000">
      <w:pPr>
        <w:pStyle w:val="Heading3"/>
      </w:pPr>
      <w:bookmarkStart w:id="37" w:name="st1-univariate-outcomes"/>
      <w:bookmarkEnd w:id="29"/>
      <w:bookmarkEnd w:id="34"/>
      <w:r>
        <w:t>Univariate model outcomes for secondary cue use</w:t>
      </w:r>
    </w:p>
    <w:p w14:paraId="5D903FBA" w14:textId="77777777" w:rsidR="00846DAE" w:rsidRDefault="00000000">
      <w:pPr>
        <w:pStyle w:val="FirstParagraph"/>
      </w:pPr>
      <w:r>
        <w:t xml:space="preserve">Table </w:t>
      </w:r>
      <w:hyperlink w:anchor="st1-theta-all-effs">
        <w:r>
          <w:fldChar w:fldCharType="begin"/>
        </w:r>
        <w:r>
          <w:instrText xml:space="preserve"> REF st1-theta-all-effs \h</w:instrText>
        </w:r>
        <w:r w:rsidR="001F3BE0">
          <w:fldChar w:fldCharType="separate"/>
        </w:r>
        <w:r w:rsidR="001F3BE0">
          <w:rPr>
            <w:b/>
            <w:noProof/>
          </w:rPr>
          <w:t>7</w:t>
        </w:r>
        <w:r>
          <w:fldChar w:fldCharType="end"/>
        </w:r>
      </w:hyperlink>
      <w:r>
        <w:t xml:space="preserve"> presents the fixed effect outcomes of the univariate Bayesian mixed-effects analyses modeling the effects of VAS slope, response variability, and contrast language on positive and negative ranges of theta. The table also presents random effects structure: Group-level standard deviations and correlation parameters with 95% credible interval (CI), population-level residual standard deviation (sigma) with 95% CI, and Bayes R</w:t>
      </w:r>
      <w:r>
        <w:rPr>
          <w:vertAlign w:val="superscript"/>
        </w:rPr>
        <w:t>2</w:t>
      </w:r>
      <w:r>
        <w:t xml:space="preserve"> with 95% quantile.</w:t>
      </w:r>
    </w:p>
    <w:p w14:paraId="01E999F1" w14:textId="77777777" w:rsidR="00846DAE" w:rsidRDefault="00000000">
      <w:pPr>
        <w:pStyle w:val="BodyText"/>
      </w:pPr>
      <w:r>
        <w:t>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p w14:paraId="79C35E15" w14:textId="77777777" w:rsidR="00846DAE" w:rsidRDefault="00000000" w:rsidP="001F3BE0">
      <w:pPr>
        <w:pStyle w:val="TableCaption"/>
      </w:pPr>
      <w:r>
        <w:rPr>
          <w:b/>
        </w:rPr>
        <w:t xml:space="preserve">Table </w:t>
      </w:r>
      <w:bookmarkStart w:id="38" w:name="st1-theta-all-effs"/>
      <w:r>
        <w:rPr>
          <w:b/>
        </w:rPr>
        <w:fldChar w:fldCharType="begin"/>
      </w:r>
      <w:r>
        <w:rPr>
          <w:b/>
        </w:rPr>
        <w:instrText>SEQ tab \* Arabic</w:instrText>
      </w:r>
      <w:r w:rsidR="001F3BE0">
        <w:rPr>
          <w:b/>
        </w:rPr>
        <w:fldChar w:fldCharType="separate"/>
      </w:r>
      <w:r w:rsidR="001F3BE0">
        <w:rPr>
          <w:b/>
          <w:noProof/>
        </w:rPr>
        <w:t>7</w:t>
      </w:r>
      <w:r>
        <w:rPr>
          <w:b/>
        </w:rPr>
        <w:fldChar w:fldCharType="end"/>
      </w:r>
      <w:bookmarkEnd w:id="38"/>
      <w:r>
        <w:rPr>
          <w:b/>
        </w:rPr>
        <w:t xml:space="preserve">: </w:t>
      </w:r>
      <w:r>
        <w:t>Univariate Bayesian fixed and random effects model outcomes examining the effects of slope, response variability, and language on the positive and negative ranges of theta: Posterior distribution median estimate, 95% credible interval (CI), and probability of direction (pd)-based p-values of predictor main effects and interactions. NOTE: STILL NEED TO ADD RANDOM EFFECTS.</w:t>
      </w:r>
    </w:p>
    <w:tbl>
      <w:tblPr>
        <w:tblW w:w="0" w:type="pct"/>
        <w:jc w:val="center"/>
        <w:tblLook w:val="0420" w:firstRow="1" w:lastRow="0" w:firstColumn="0" w:lastColumn="0" w:noHBand="0" w:noVBand="1"/>
      </w:tblPr>
      <w:tblGrid>
        <w:gridCol w:w="3685"/>
        <w:gridCol w:w="1031"/>
        <w:gridCol w:w="1205"/>
        <w:gridCol w:w="598"/>
        <w:gridCol w:w="1031"/>
        <w:gridCol w:w="1212"/>
        <w:gridCol w:w="598"/>
      </w:tblGrid>
      <w:tr w:rsidR="00846DAE" w14:paraId="24D8D0D8" w14:textId="77777777">
        <w:trPr>
          <w:cantSplit/>
          <w:tblHeader/>
          <w:jc w:val="center"/>
        </w:trPr>
        <w:tc>
          <w:tcPr>
            <w:tcW w:w="0" w:type="auto"/>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6FD39ED"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BA411E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0" w:type="auto"/>
            <w:gridSpan w:val="3"/>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04F14A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846DAE" w14:paraId="15A9AE1D" w14:textId="77777777">
        <w:trPr>
          <w:cantSplit/>
          <w:tblHeader/>
          <w:jc w:val="center"/>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D0B78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D6D5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F87E6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CI</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15AFB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32D8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F6DF1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CI</w:t>
            </w:r>
          </w:p>
        </w:tc>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9A55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846DAE" w14:paraId="3A28AA3B" w14:textId="77777777">
        <w:trPr>
          <w:cantSplit/>
          <w:jc w:val="center"/>
        </w:trPr>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89536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5137C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7.12</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D5072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[ 0.28, 14.51]</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80892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19C40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-5.70</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812E5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[-12.25, 0.23]</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DC4AA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r>
      <w:tr w:rsidR="00846DAE" w14:paraId="6D69F1AF"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1770C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4F3A5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7F167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[-1.87,  2.94]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8CD54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DED1A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1E74E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-4.05, 2.38]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7764F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w:t>
            </w:r>
          </w:p>
        </w:tc>
      </w:tr>
      <w:tr w:rsidR="00846DAE" w14:paraId="6B35B2E0"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69B41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2FD22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9E8B5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[ 0.01,  0.63]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5492F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982D4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0E0B8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-0.40, 0.31]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DD3B3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r>
      <w:tr w:rsidR="00846DAE" w14:paraId="3B5BBDDE"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1C2BE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CDA97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EB24E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[-3.75,  3.77]</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F48B1D"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89C16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CDA5D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-3.97, 3.40]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6135D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846DAE" w14:paraId="426D101F"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8FC70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Slope x Response Variability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D398D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9BFBA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  0.17]</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12E7D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546A89"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87DE4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-0.44, 0.26]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67928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846DAE" w14:paraId="21CF0A63"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104F4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BD29DC"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FBAE1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4.28]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51B784"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FA07A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04CDE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-3.72, 2.70]</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5B6218"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846DAE" w14:paraId="500B4A38"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CE3F6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61FD52"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401C83"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  0.18]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92B2BF"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E0051A"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30ADBB"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-0.47, 0.23]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85BF5E"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r>
      <w:tr w:rsidR="00846DAE" w14:paraId="2997A66B"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2B34B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Response Variability x language (Japanese)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92195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E1DAD0"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946C15"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030CB6"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0B8CF7"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-0.19, 0.53]</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2BBA51" w14:textId="77777777" w:rsidR="00846DAE"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r>
      <w:tr w:rsidR="00846DAE" w14:paraId="35530D7B" w14:textId="77777777">
        <w:trPr>
          <w:cantSplit/>
          <w:jc w:val="center"/>
        </w:trPr>
        <w:tc>
          <w:tcPr>
            <w:tcW w:w="0" w:type="auto"/>
            <w:gridSpan w:val="7"/>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D82D6A" w14:textId="77777777" w:rsidR="00846DAE" w:rsidRDefault="00846DAE">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E38F695" w14:textId="77777777" w:rsidR="00846DAE" w:rsidRDefault="00000000">
      <w:pPr>
        <w:pStyle w:val="Heading4"/>
      </w:pPr>
      <w:bookmarkStart w:id="39" w:name="st1-rq1-part-2"/>
      <w:r>
        <w:t>Effect of VAS slope and response variability on secondary cue use</w:t>
      </w:r>
    </w:p>
    <w:p w14:paraId="7A58963B" w14:textId="77777777" w:rsidR="00846DAE" w:rsidRDefault="00000000">
      <w:pPr>
        <w:pStyle w:val="FirstParagraph"/>
      </w:pPr>
      <w:r>
        <w:t>In the model predicting positive theta values, response variability was the only predictor of either the main or interaction effects with a 95% CI that excluded zero (</w:t>
      </w:r>
      <w:r>
        <w:rPr>
          <w:i/>
          <w:iCs/>
        </w:rPr>
        <w:t>b</w:t>
      </w:r>
      <w:r>
        <w:t xml:space="preserve"> = 0.34, 95% CI = [0.01, 0.63], </w:t>
      </w:r>
      <w:r>
        <w:rPr>
          <w:i/>
          <w:iCs/>
        </w:rPr>
        <w:t>pd-p</w:t>
      </w:r>
      <w:r>
        <w:t xml:space="preserve"> = 0.04), indicating a statistically robust trend that response variability predicted a mild increase in secondary cue use in the expected direction of categorization. All other main and interaction effects lacked strong support, as their CIs overlapped with zero and showed high uncertainty in directionality. In the model predicting negative theta values, none of the predictors and their interaction terms showed evidence of an effect, as all CIs included zero and the </w:t>
      </w:r>
      <w:r>
        <w:rPr>
          <w:i/>
          <w:iCs/>
        </w:rPr>
        <w:t>pd-p</w:t>
      </w:r>
      <w:r>
        <w:t xml:space="preserve"> values indicated substantial uncertainty in the directionality of the estimate.</w:t>
      </w:r>
    </w:p>
    <w:p w14:paraId="3388490D" w14:textId="77777777" w:rsidR="00846DAE" w:rsidRDefault="00000000">
      <w:pPr>
        <w:pStyle w:val="BodyText"/>
      </w:pPr>
      <w:r>
        <w:t xml:space="preserve">Figure </w:t>
      </w:r>
      <w:hyperlink w:anchor="st1-part2-cond-eff">
        <w:r>
          <w:fldChar w:fldCharType="begin"/>
        </w:r>
        <w:r>
          <w:instrText xml:space="preserve"> REF st1-part2-cond-eff \h</w:instrText>
        </w:r>
        <w:r w:rsidR="001F3BE0">
          <w:fldChar w:fldCharType="separate"/>
        </w:r>
        <w:r w:rsidR="001F3BE0">
          <w:rPr>
            <w:b/>
            <w:noProof/>
          </w:rPr>
          <w:t>13</w:t>
        </w:r>
        <w:r>
          <w:fldChar w:fldCharType="end"/>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 </w:t>
      </w:r>
      <w:hyperlink w:anchor="st1-part2-cond-eff">
        <w:r>
          <w:fldChar w:fldCharType="begin"/>
        </w:r>
        <w:r>
          <w:instrText xml:space="preserve"> REF st1-part2-cond-eff \h</w:instrText>
        </w:r>
        <w:r w:rsidR="001F3BE0">
          <w:fldChar w:fldCharType="separate"/>
        </w:r>
        <w:r w:rsidR="001F3BE0">
          <w:rPr>
            <w:b/>
            <w:noProof/>
          </w:rPr>
          <w:t>13</w:t>
        </w:r>
        <w:r>
          <w:fldChar w:fldCharType="end"/>
        </w:r>
      </w:hyperlink>
      <w:r>
        <w:t>B, where the relationship was not statistically robust and the trend was flat.</w:t>
      </w:r>
    </w:p>
    <w:p w14:paraId="0E6735B1" w14:textId="77777777" w:rsidR="00846DAE" w:rsidRDefault="00000000">
      <w:pPr>
        <w:pStyle w:val="Figure"/>
        <w:jc w:val="center"/>
      </w:pPr>
      <w:r>
        <w:rPr>
          <w:noProof/>
        </w:rPr>
        <w:lastRenderedPageBreak/>
        <w:drawing>
          <wp:inline distT="0" distB="0" distL="0" distR="0" wp14:anchorId="27AA46B2" wp14:editId="4A66E9B7">
            <wp:extent cx="4572000"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63500" cy="50800"/>
                    </a:xfrm>
                    <a:prstGeom prst="rect">
                      <a:avLst/>
                    </a:prstGeom>
                    <a:noFill/>
                  </pic:spPr>
                </pic:pic>
              </a:graphicData>
            </a:graphic>
          </wp:inline>
        </w:drawing>
      </w:r>
    </w:p>
    <w:p w14:paraId="28838318" w14:textId="77777777" w:rsidR="00846DAE" w:rsidRDefault="00000000">
      <w:pPr>
        <w:pStyle w:val="ImageCaption"/>
      </w:pPr>
      <w:r>
        <w:rPr>
          <w:b/>
        </w:rPr>
        <w:t xml:space="preserve">Figure </w:t>
      </w:r>
      <w:bookmarkStart w:id="40" w:name="st1-part2-cond-eff"/>
      <w:r>
        <w:rPr>
          <w:b/>
        </w:rPr>
        <w:fldChar w:fldCharType="begin"/>
      </w:r>
      <w:r>
        <w:rPr>
          <w:b/>
        </w:rPr>
        <w:instrText>SEQ fig \* Arabic</w:instrText>
      </w:r>
      <w:r w:rsidR="001F3BE0">
        <w:rPr>
          <w:b/>
        </w:rPr>
        <w:fldChar w:fldCharType="separate"/>
      </w:r>
      <w:r w:rsidR="001F3BE0">
        <w:rPr>
          <w:b/>
          <w:noProof/>
        </w:rPr>
        <w:t>13</w:t>
      </w:r>
      <w:r>
        <w:rPr>
          <w:b/>
        </w:rPr>
        <w:fldChar w:fldCharType="end"/>
      </w:r>
      <w:bookmarkEnd w:id="40"/>
      <w:r>
        <w:rPr>
          <w:b/>
        </w:rPr>
        <w:t xml:space="preserve">: </w:t>
      </w:r>
      <w:r>
        <w:t>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w:t>
      </w:r>
    </w:p>
    <w:p w14:paraId="5849079C" w14:textId="77777777" w:rsidR="00846DAE" w:rsidRDefault="00000000">
      <w:pPr>
        <w:pStyle w:val="BodyText"/>
      </w:pPr>
      <w:r>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 </w:t>
      </w:r>
      <w:r>
        <w:rPr>
          <w:i/>
          <w:iCs/>
        </w:rPr>
        <w:t>increased</w:t>
      </w:r>
      <w:r>
        <w:t xml:space="preserve"> secondary cue integration in the </w:t>
      </w:r>
      <w:r>
        <w:rPr>
          <w:i/>
          <w:iCs/>
        </w:rPr>
        <w:t>reversed</w:t>
      </w:r>
      <w:r>
        <w:t xml:space="preserve"> direction of categorization (i.e., larger negative theta values) for Japanese compared to English. These interpretations are tentative given the wide intervals and low directional certainty.</w:t>
      </w:r>
    </w:p>
    <w:p w14:paraId="04B5C7FD" w14:textId="77777777" w:rsidR="00846DAE" w:rsidRDefault="00000000">
      <w:pPr>
        <w:pStyle w:val="BodyText"/>
      </w:pPr>
      <w:r>
        <w:lastRenderedPageBreak/>
        <w:t>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CIs and low confidence in directionality of the estimate (</w:t>
      </w:r>
      <w:r>
        <w:rPr>
          <w:i/>
          <w:iCs/>
        </w:rPr>
        <w:t>pd-d</w:t>
      </w:r>
      <w:r>
        <w:t xml:space="preserve"> = 0.58 for positive theta and </w:t>
      </w:r>
      <w:r>
        <w:rPr>
          <w:i/>
          <w:iCs/>
        </w:rPr>
        <w:t>pd-p</w:t>
      </w:r>
      <w:r>
        <w:t xml:space="preserve"> = 0.75 for negative theta), which indicates a greater degree of uncertainty and Instead, their inclusion is to provide a fuller picture in using both response variability and VAS slope together to estimate the of categorization gradiency on secondary cue use.</w:t>
      </w:r>
    </w:p>
    <w:p w14:paraId="4CC5DFFE" w14:textId="77777777" w:rsidR="00846DAE" w:rsidRDefault="00000000">
      <w:pPr>
        <w:pStyle w:val="BodyText"/>
      </w:pPr>
      <w:r>
        <w:t>Panels E and F present the interactions between VAS slope and language. These are included to illustrate possible differences in how slope may predict secondary cue use in L1 vs. L2, though neither interaction was statistically supported (</w:t>
      </w:r>
      <w:r>
        <w:rPr>
          <w:i/>
          <w:iCs/>
        </w:rPr>
        <w:t>pd-p</w:t>
      </w:r>
      <w:r>
        <w:t xml:space="preserve"> = 0.58 for positive theta; </w:t>
      </w:r>
      <w:r>
        <w:rPr>
          <w:i/>
          <w:iCs/>
        </w:rPr>
        <w:t>pd-p</w:t>
      </w:r>
      <w:r>
        <w:t xml:space="preserve"> = 0.75 for negative theta). The wide CIs and lack of directional confidence indicate a high degree of uncertainty and necessitates critical evaluation of the emerging trends and caution against overinterpretation. However, their inclusion provides a more complete picture on how both response variability and VAS slope may together be used to represent categorization gradiency, and how these variables might interact with language context in predicting secondary cue integration.</w:t>
      </w:r>
    </w:p>
    <w:p w14:paraId="5E2EFE1F" w14:textId="77777777" w:rsidR="00846DAE" w:rsidRDefault="00000000">
      <w:pPr>
        <w:pStyle w:val="BodyText"/>
      </w:pPr>
      <w:r>
        <w:t>Another point of interest is the joint effect of VAS slope and response variability on secondary cue use. Based on prior research, I had hypothesized that what would be canonically known as “true” 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b</w:t>
      </w:r>
      <w:r>
        <w:t xml:space="preserve"> = -0.01, 95% CI [-0.23, 0.17], </w:t>
      </w:r>
      <w:r>
        <w:rPr>
          <w:i/>
          <w:iCs/>
        </w:rPr>
        <w:t>pd-p</w:t>
      </w:r>
      <w:r>
        <w:t xml:space="preserve"> = 0.91) and negative (</w:t>
      </w:r>
      <w:r>
        <w:rPr>
          <w:i/>
          <w:iCs/>
        </w:rPr>
        <w:t>b</w:t>
      </w:r>
      <w:r>
        <w:t xml:space="preserve"> = -0.06, </w:t>
      </w:r>
      <w:r>
        <w:lastRenderedPageBreak/>
        <w:t xml:space="preserve">95% CI [-0.44, 0.26], </w:t>
      </w:r>
      <w:r>
        <w:rPr>
          <w:i/>
          <w:iCs/>
        </w:rPr>
        <w:t>pd-p</w:t>
      </w:r>
      <w:r>
        <w:t xml:space="preserve"> = 0.71) theta values estimated very little difference for the effect of VAS slope at different levels of response variability, with very high uncertainty as indicated by the wide CIs that overlapped with zero and large </w:t>
      </w:r>
      <w:r>
        <w:rPr>
          <w:i/>
          <w:iCs/>
        </w:rPr>
        <w:t>pd-p</w:t>
      </w:r>
      <w:r>
        <w:t xml:space="preserve"> values. Figure </w:t>
      </w:r>
      <w:hyperlink w:anchor="st1-slopevartheta-condeffs">
        <w:r>
          <w:fldChar w:fldCharType="begin"/>
        </w:r>
        <w:r>
          <w:instrText xml:space="preserve"> REF st1-slopevartheta-condeffs \h</w:instrText>
        </w:r>
        <w:r w:rsidR="001F3BE0">
          <w:fldChar w:fldCharType="separate"/>
        </w:r>
        <w:r w:rsidR="001F3BE0">
          <w:rPr>
            <w:b/>
            <w:noProof/>
          </w:rPr>
          <w:t>14</w:t>
        </w:r>
        <w:r>
          <w:fldChar w:fldCharType="end"/>
        </w:r>
      </w:hyperlink>
      <w:r>
        <w:t xml:space="preserve"> 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14:paraId="4BD7C5DA" w14:textId="77777777" w:rsidR="00846DAE" w:rsidRDefault="00000000">
      <w:pPr>
        <w:pStyle w:val="Figure"/>
        <w:jc w:val="center"/>
      </w:pPr>
      <w:r>
        <w:rPr>
          <w:noProof/>
        </w:rPr>
        <w:drawing>
          <wp:inline distT="0" distB="0" distL="0" distR="0" wp14:anchorId="6920DD28" wp14:editId="2CD132E8">
            <wp:extent cx="4572000" cy="3657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0"/>
                    <a:stretch>
                      <a:fillRect/>
                    </a:stretch>
                  </pic:blipFill>
                  <pic:spPr bwMode="auto">
                    <a:xfrm>
                      <a:off x="0" y="0"/>
                      <a:ext cx="63500" cy="50800"/>
                    </a:xfrm>
                    <a:prstGeom prst="rect">
                      <a:avLst/>
                    </a:prstGeom>
                    <a:noFill/>
                  </pic:spPr>
                </pic:pic>
              </a:graphicData>
            </a:graphic>
          </wp:inline>
        </w:drawing>
      </w:r>
    </w:p>
    <w:p w14:paraId="2FCE06D3" w14:textId="77777777" w:rsidR="00846DAE" w:rsidRDefault="00000000">
      <w:pPr>
        <w:pStyle w:val="ImageCaption"/>
      </w:pPr>
      <w:r>
        <w:rPr>
          <w:b/>
        </w:rPr>
        <w:t xml:space="preserve">Figure </w:t>
      </w:r>
      <w:bookmarkStart w:id="41" w:name="st1-slopevartheta-condeffs"/>
      <w:r>
        <w:rPr>
          <w:b/>
        </w:rPr>
        <w:fldChar w:fldCharType="begin"/>
      </w:r>
      <w:r>
        <w:rPr>
          <w:b/>
        </w:rPr>
        <w:instrText>SEQ fig \* Arabic</w:instrText>
      </w:r>
      <w:r w:rsidR="001F3BE0">
        <w:rPr>
          <w:b/>
        </w:rPr>
        <w:fldChar w:fldCharType="separate"/>
      </w:r>
      <w:r w:rsidR="001F3BE0">
        <w:rPr>
          <w:b/>
          <w:noProof/>
        </w:rPr>
        <w:t>14</w:t>
      </w:r>
      <w:r>
        <w:rPr>
          <w:b/>
        </w:rPr>
        <w:fldChar w:fldCharType="end"/>
      </w:r>
      <w:bookmarkEnd w:id="41"/>
      <w:r>
        <w:rPr>
          <w:b/>
        </w:rPr>
        <w:t xml:space="preserve">: </w:t>
      </w:r>
      <w:r>
        <w:t>Conditional effects of VAS slope on positive and negative values of theta at different levels of response variability. Response variability is binned into three levels of median response variability of the full dataset +/- 1.5 median absolute deviations (MAD).</w:t>
      </w:r>
    </w:p>
    <w:p w14:paraId="0DE8A333" w14:textId="77777777" w:rsidR="00846DAE" w:rsidRDefault="00000000">
      <w:pPr>
        <w:pStyle w:val="BodyText"/>
      </w:pPr>
      <w:r>
        <w:lastRenderedPageBreak/>
        <w:t>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p w14:paraId="30C98723" w14:textId="77777777" w:rsidR="00846DAE" w:rsidRDefault="00000000">
      <w:pPr>
        <w:pStyle w:val="Heading2"/>
      </w:pPr>
      <w:bookmarkStart w:id="42" w:name="st1-discussion"/>
      <w:bookmarkEnd w:id="16"/>
      <w:bookmarkEnd w:id="37"/>
      <w:bookmarkEnd w:id="39"/>
      <w:r>
        <w:t>Discussion</w:t>
      </w:r>
    </w:p>
    <w:p w14:paraId="3E52189D" w14:textId="77777777" w:rsidR="00846DAE" w:rsidRDefault="00000000">
      <w:pPr>
        <w:pStyle w:val="FirstParagraph"/>
      </w:pPr>
      <w:r>
        <w:t>In this study, I examined the impact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than be through being multilingual or exposing oneself to multiple languages despite being functionally monolingual, would predict more gradient response patterns for L1 and L2 speech, as well as higher degrees of secondary cue integration, representing perceptual flexibility.</w:t>
      </w:r>
    </w:p>
    <w:p w14:paraId="6E872323" w14:textId="77777777" w:rsidR="00846DAE" w:rsidRDefault="00000000">
      <w:pPr>
        <w:pStyle w:val="BodyText"/>
      </w:pPr>
      <w:r>
        <w:t>The results from the Bayesian mixed-effects models mostly yielded non-robust findings of effects, especially with regards to my hypotheses. However, several trends emerged that will be discussed with caution.</w:t>
      </w:r>
    </w:p>
    <w:p w14:paraId="515BE954" w14:textId="77777777" w:rsidR="00846DAE" w:rsidRDefault="00000000">
      <w:pPr>
        <w:pStyle w:val="Heading3"/>
      </w:pPr>
      <w:bookmarkStart w:id="43" w:name="X942ad971df8b01b8a5ad1a49e1353e2ca370ba4"/>
      <w:r>
        <w:t>The effect of experiential linguistic diversity on gradiency, response variability, and secondary cue use</w:t>
      </w:r>
    </w:p>
    <w:p w14:paraId="4E131FD8" w14:textId="77777777" w:rsidR="00846DAE" w:rsidRDefault="00000000">
      <w:pPr>
        <w:pStyle w:val="FirstParagraph"/>
      </w:pPr>
      <w:r>
        <w:t xml:space="preserve">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w:t>
      </w:r>
      <w:r>
        <w:lastRenderedPageBreak/>
        <w:t xml:space="preserve">best supported by the data were the interactions between the MLD scores and contrast language for VAS slope. There </w:t>
      </w:r>
      <w:proofErr w:type="gramStart"/>
      <w:r>
        <w:t>was</w:t>
      </w:r>
      <w:proofErr w:type="gramEnd"/>
      <w:r>
        <w:t xml:space="preserve"> weak evidence that higher MLD-A scores predicted shallower VAS slopes for Japanese contrasts compared to English, while there </w:t>
      </w:r>
      <w:proofErr w:type="gramStart"/>
      <w:r>
        <w:t>was</w:t>
      </w:r>
      <w:proofErr w:type="gramEnd"/>
      <w:r>
        <w:t xml:space="preserve">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14:paraId="4EB983A0" w14:textId="77777777" w:rsidR="00846DAE" w:rsidRDefault="00000000">
      <w:pPr>
        <w:pStyle w:val="BodyText"/>
      </w:pPr>
      <w:r>
        <w:t xml:space="preserve">As suggested by prior literature, slopes from VAS responses are best analyzed in conjunction with response variability (Apfelbaum et al. 2022; Kutlu, Chiu, and McMurray 2022) when characterizing gradient vs. categorical response patterns. In this study, VAS slope and VAS response variability were not able integrated as a single predictor, as it was in Kutlu et al. (2024). However, the </w:t>
      </w:r>
      <w:proofErr w:type="gramStart"/>
      <w:r>
        <w:t>trends</w:t>
      </w:r>
      <w:proofErr w:type="gramEnd"/>
      <w:r>
        <w:t xml:space="preserve"> of the predictor impacts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gradual changes along a continuum, thus sensitivity to within-category differences, whereas response variability (also called response consistency in these studies) conceptually measures the degree of reliability in mapping stimulus characteristics to phonemic categories Fuhrmeister et al. (2023).</w:t>
      </w:r>
    </w:p>
    <w:p w14:paraId="3DFB6904" w14:textId="77777777" w:rsidR="00846DAE" w:rsidRDefault="00000000">
      <w:pPr>
        <w:pStyle w:val="BodyText"/>
      </w:pPr>
      <w:r>
        <w:t xml:space="preserve">The findings with relation to MLD-A and MLD-P offer interesting insight into gradient sensitivity to acoustic cues, especially with regards to L1 vs. non-L1 speech perception. The finding that MLD-A predicted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may not have the </w:t>
      </w:r>
      <w:r>
        <w:lastRenderedPageBreak/>
        <w:t>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words on screen), while allowing those who do track within-category differences to report these differences. This is consistent with [cite paper].</w:t>
      </w:r>
    </w:p>
    <w:p w14:paraId="70F89AC3" w14:textId="77777777" w:rsidR="00846DAE" w:rsidRDefault="00000000">
      <w:pPr>
        <w:pStyle w:val="BodyText"/>
      </w:pPr>
      <w:r>
        <w:t>On the other hand, the finding that MLD-P predicted steeper VAS slopes for Japanese compared to English is an interesting contrast to the above finding. The conceptualization that VAS slopes reflect gradiency as within-category acoustic sensitivity would imply that those with passive use of and exposure to multiple languages show decreased sensitivity to within-category 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14:paraId="0C5622A7" w14:textId="77777777" w:rsidR="00846DAE" w:rsidRDefault="00000000">
      <w:pPr>
        <w:pStyle w:val="BodyText"/>
      </w:pPr>
      <w:r>
        <w:t xml:space="preserve">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w:t>
      </w:r>
      <w:r>
        <w:lastRenderedPageBreak/>
        <w:t>trends for VAS slope, response variability, and secondary cue use in the expected direction of categorization may suggest that MLD-A and MLD-P represent wholly different constructs. Language entropy has been used in previous research to predict [insert perceptual construct, one of the Guillifer papers], the measure has not been used before to measure degree of passive language use and exposure. It may be worth exploring what kind of perceptual construct may be represented by an index that quantifies degree of passive linguistic diversity and what implications this kind of exposure means for speech perception [go back to Bice &amp; Kroll papers and add something here about that]. A limitation to this analysis was that an interaction effect between MLD-A and MLD-P was not included in the statistical models, which may have been able to elucidate differential effects of one MLD score at different levels of the other.</w:t>
      </w:r>
    </w:p>
    <w:p w14:paraId="5F7C253A" w14:textId="77777777" w:rsidR="00846DAE" w:rsidRDefault="00000000">
      <w:pPr>
        <w:pStyle w:val="BodyText"/>
      </w:pPr>
      <w:r>
        <w:t xml:space="preserve">Nonetheless, these trends were not statistically supported by these data and serve as potential avenues of follow-up research. Yet, given the zero-inflation of the distributions of both MLD-A and MLD-P scores, it is advisable to view most, if not all, of these findings with </w:t>
      </w:r>
      <w:proofErr w:type="spellStart"/>
      <w:r>
        <w:t>skeptism</w:t>
      </w:r>
      <w:proofErr w:type="spellEnd"/>
      <w:r>
        <w:t>.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p w14:paraId="38AD03A1" w14:textId="77777777" w:rsidR="00846DAE" w:rsidRDefault="00000000">
      <w:pPr>
        <w:pStyle w:val="Heading3"/>
      </w:pPr>
      <w:bookmarkStart w:id="44" w:name="st1-discussion-theta"/>
      <w:bookmarkEnd w:id="43"/>
      <w:r>
        <w:t>The effects of gradiency and response variability on secondary cue use</w:t>
      </w:r>
    </w:p>
    <w:p w14:paraId="6070FDFF" w14:textId="77777777" w:rsidR="00846DAE" w:rsidRDefault="00000000">
      <w:pPr>
        <w:pStyle w:val="FirstParagraph"/>
      </w:pPr>
      <w:r>
        <w:t xml:space="preserve">Based on previous work Kim, Clayards, and Kong (2020),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w:t>
      </w:r>
      <w:r>
        <w:lastRenderedPageBreak/>
        <w:t>VAS slope, nor any interactions included in the model, did not show any statistically robust effects on secondary cue use. The lack of findings for the negative values of theta were also surprising, given that one could conceptually conceive that negative theta values representing reversed categorization would suggest noisy categorization that could be captured from the slope and response variability measures.</w:t>
      </w:r>
    </w:p>
    <w:p w14:paraId="69CCF68D" w14:textId="77777777" w:rsidR="00846DAE" w:rsidRDefault="00000000">
      <w:pPr>
        <w:pStyle w:val="BodyText"/>
      </w:pPr>
      <w:r>
        <w:t xml:space="preserve">This outcome that contradicts the </w:t>
      </w:r>
      <w:proofErr w:type="spellStart"/>
      <w:r>
        <w:t>well established</w:t>
      </w:r>
      <w:proofErr w:type="spellEnd"/>
      <w:r>
        <w:t xml:space="preserve"> evidence from previous findings may have occurred for a number of reasons. Most notably, past research has used a different measure of secondary cue use. Kong and Edwards (2016) used anticipatory eye movement (AEM) as measure of secondary cue use, whereas, Kim, Clayards, and Kong (2020), Kapnoula et al. (2017), and Kapnoula and McMurray (2021) 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mathematically be conceived as measuring secondary cue use, it may possibly conceptually be a measure of a separate construct.</w:t>
      </w:r>
    </w:p>
    <w:p w14:paraId="771B7408" w14:textId="77777777" w:rsidR="00846DAE" w:rsidRDefault="00000000">
      <w:pPr>
        <w:pStyle w:val="Heading3"/>
      </w:pPr>
      <w:bookmarkStart w:id="45" w:name="st1-individual-differences"/>
      <w:bookmarkEnd w:id="44"/>
      <w:r>
        <w:t>Individual differences in categorization patterns within and across languages</w:t>
      </w:r>
    </w:p>
    <w:p w14:paraId="733F5DED" w14:textId="77777777" w:rsidR="00846DAE" w:rsidRDefault="00000000">
      <w:pPr>
        <w:pStyle w:val="FirstParagraph"/>
      </w:pPr>
      <w:r>
        <w:t xml:space="preserve">The contrast pairs were collapsed within language for the primary analyses, yet it is notable that there were still a number of individuals who displayed different categorization patterns between contrast pairs within same language. This finding supports that of Kapnoula, Edwards, and McMurray (2021), who found that gradiency in perceiving voicing contrasts (/b/ vs. /p/) did not </w:t>
      </w:r>
      <w:r>
        <w:lastRenderedPageBreak/>
        <w:t xml:space="preserve">predict gradiency in perceiving place of articulation fricative contrasts (/s/ vs. /ʃ/). Although I did not run specific analyses to quantify the degree of correlation between within-language contrasts, the group-level characterization of categorization patterns for each contrast pair presented in Table </w:t>
      </w:r>
      <w:hyperlink w:anchor="st1-sum-stats-tbl">
        <w:r>
          <w:fldChar w:fldCharType="begin"/>
        </w:r>
        <w:r>
          <w:instrText xml:space="preserve"> REF st1-sum-stats-tbl \h</w:instrText>
        </w:r>
        <w:r w:rsidR="001F3BE0">
          <w:fldChar w:fldCharType="separate"/>
        </w:r>
        <w:r w:rsidR="001F3BE0">
          <w:rPr>
            <w:b/>
            <w:noProof/>
          </w:rPr>
          <w:t>4</w:t>
        </w:r>
        <w:r>
          <w:fldChar w:fldCharType="end"/>
        </w:r>
      </w:hyperlink>
      <w:r>
        <w:t xml:space="preserve"> and Figure </w:t>
      </w:r>
      <w:hyperlink w:anchor="st1-avg-heatmap">
        <w:r>
          <w:fldChar w:fldCharType="begin"/>
        </w:r>
        <w:r>
          <w:instrText xml:space="preserve"> REF st1-avg-heatmap \h</w:instrText>
        </w:r>
        <w:r w:rsidR="001F3BE0">
          <w:fldChar w:fldCharType="separate"/>
        </w:r>
        <w:r w:rsidR="001F3BE0">
          <w:rPr>
            <w:b/>
            <w:noProof/>
          </w:rPr>
          <w:t>6</w:t>
        </w:r>
        <w:r>
          <w:fldChar w:fldCharType="end"/>
        </w:r>
      </w:hyperlink>
      <w:r>
        <w:t xml:space="preserve"> illustrated the variability of categorization both between- and within-language. This demonstrates gradiency and secondary cue use is not an individual-specific </w:t>
      </w:r>
      <w:proofErr w:type="gramStart"/>
      <w:r>
        <w:t>construct, but</w:t>
      </w:r>
      <w:proofErr w:type="gramEnd"/>
      <w:r>
        <w:t xml:space="preserve"> instead depends on both the individual and the phonemes themselves.</w:t>
      </w:r>
    </w:p>
    <w:p w14:paraId="61033313" w14:textId="77777777" w:rsidR="00846DAE" w:rsidRDefault="00000000">
      <w:pPr>
        <w:pStyle w:val="BodyText"/>
      </w:pPr>
      <w:r>
        <w:t>[I’d like to say more about individual differences]</w:t>
      </w:r>
    </w:p>
    <w:p w14:paraId="52CB41FC" w14:textId="77777777" w:rsidR="00846DAE" w:rsidRDefault="00000000">
      <w:pPr>
        <w:pStyle w:val="BodyText"/>
      </w:pPr>
      <w:r>
        <w:t>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p w14:paraId="5AAF3178" w14:textId="77777777" w:rsidR="00846DAE" w:rsidRDefault="00000000">
      <w:pPr>
        <w:pStyle w:val="Heading3"/>
      </w:pPr>
      <w:bookmarkStart w:id="46" w:name="st1-limitations"/>
      <w:bookmarkEnd w:id="45"/>
      <w:r>
        <w:t>Limitations</w:t>
      </w:r>
    </w:p>
    <w:p w14:paraId="0E09A908" w14:textId="77777777" w:rsidR="00846DAE" w:rsidRDefault="00000000">
      <w:pPr>
        <w:pStyle w:val="FirstParagraph"/>
      </w:pPr>
      <w:r>
        <w:t>The stats I chose to use, the way I measured all of these constructs, especially linguistic diversity, the questionnaire, and also the limited pool of multilinguals. [though since some of this was discussed above, may not need this section, and could expound on limitations more in the general discussion]</w:t>
      </w:r>
    </w:p>
    <w:p w14:paraId="23A6429E" w14:textId="77777777" w:rsidR="00846DAE" w:rsidRDefault="00000000">
      <w:pPr>
        <w:pStyle w:val="BodyText"/>
      </w:pPr>
      <w:r>
        <w:t>References</w:t>
      </w:r>
    </w:p>
    <w:p w14:paraId="3C566F68" w14:textId="77777777" w:rsidR="00846DAE" w:rsidRDefault="00000000">
      <w:pPr>
        <w:pStyle w:val="Bibliography"/>
      </w:pPr>
      <w:bookmarkStart w:id="47" w:name="ref-Anwyl-Irvine2020Gorilla"/>
      <w:bookmarkStart w:id="48" w:name="refs"/>
      <w:r>
        <w:t xml:space="preserve">Anwyl-Irvine, Alexander L., Jessica Massonnié, Adam Flitton, Natasha Kirkham, and Jo K. Evershed. 2020. “Gorilla in Our Midst: An Online Behavioral Experiment Builder.” </w:t>
      </w:r>
      <w:r>
        <w:rPr>
          <w:i/>
          <w:iCs/>
        </w:rPr>
        <w:t>Behavior Research Methods</w:t>
      </w:r>
      <w:r>
        <w:t xml:space="preserve"> 52 (1): 388–407. </w:t>
      </w:r>
      <w:hyperlink r:id="rId21">
        <w:r>
          <w:rPr>
            <w:rStyle w:val="Hyperlink"/>
          </w:rPr>
          <w:t>https://doi.org/10.3758/s13428-019-01237-x</w:t>
        </w:r>
      </w:hyperlink>
      <w:r>
        <w:t>.</w:t>
      </w:r>
    </w:p>
    <w:p w14:paraId="5AFCB19C" w14:textId="77777777" w:rsidR="00846DAE" w:rsidRDefault="00000000">
      <w:pPr>
        <w:pStyle w:val="Bibliography"/>
      </w:pPr>
      <w:bookmarkStart w:id="49" w:name="ref-Apfelbaum2022Dont"/>
      <w:bookmarkEnd w:id="47"/>
      <w:r>
        <w:lastRenderedPageBreak/>
        <w:t xml:space="preserve">Apfelbaum, Keith S., Ethan Kutlu, Bob McMurray, and Efthymia C. Kapnoula. 2022. “Don’t Force It! Gradient Speech Categorization Calls for Continuous Categorization Tasks.” </w:t>
      </w:r>
      <w:r>
        <w:rPr>
          <w:i/>
          <w:iCs/>
        </w:rPr>
        <w:t>The Journal of the Acoustical Society of America</w:t>
      </w:r>
      <w:r>
        <w:t xml:space="preserve"> 152 (6): 3728–45. </w:t>
      </w:r>
      <w:hyperlink r:id="rId22">
        <w:r>
          <w:rPr>
            <w:rStyle w:val="Hyperlink"/>
          </w:rPr>
          <w:t>https://doi.org/10.1121/10.0015201</w:t>
        </w:r>
      </w:hyperlink>
      <w:r>
        <w:t>.</w:t>
      </w:r>
    </w:p>
    <w:p w14:paraId="2B369CCB" w14:textId="77777777" w:rsidR="00846DAE" w:rsidRDefault="00000000">
      <w:pPr>
        <w:pStyle w:val="Bibliography"/>
      </w:pPr>
      <w:bookmarkStart w:id="50" w:name="ref-vandenBerg2022Language"/>
      <w:bookmarkEnd w:id="49"/>
      <w:r>
        <w:t xml:space="preserve">Berg, Floor van den, Jelle Brouwer, Thomas B. Tienkamp, Josje Verhagen, and Merel Keijzer. 2022. “Language Entropy Relates to Behavioral and Pupil Indices of Executive Control in Young Adult Bilinguals.” </w:t>
      </w:r>
      <w:r>
        <w:rPr>
          <w:i/>
          <w:iCs/>
        </w:rPr>
        <w:t>Frontiers in Psychology</w:t>
      </w:r>
      <w:r>
        <w:t xml:space="preserve"> 13 (May). </w:t>
      </w:r>
      <w:hyperlink r:id="rId23">
        <w:r>
          <w:rPr>
            <w:rStyle w:val="Hyperlink"/>
          </w:rPr>
          <w:t>https://doi.org/10.3389/fpsyg.2022.864763</w:t>
        </w:r>
      </w:hyperlink>
      <w:r>
        <w:t>.</w:t>
      </w:r>
    </w:p>
    <w:p w14:paraId="6929D988" w14:textId="77777777" w:rsidR="00846DAE" w:rsidRDefault="00000000">
      <w:pPr>
        <w:pStyle w:val="Bibliography"/>
      </w:pPr>
      <w:bookmarkStart w:id="51" w:name="ref-Boersma2024Praat"/>
      <w:bookmarkEnd w:id="50"/>
      <w:r>
        <w:t xml:space="preserve">Boersma, Paul, and David Weenink. 2024. “Praat: Doing Phonetics by Computer.” </w:t>
      </w:r>
      <w:hyperlink r:id="rId24">
        <w:r>
          <w:rPr>
            <w:rStyle w:val="Hyperlink"/>
          </w:rPr>
          <w:t>www.praat.org</w:t>
        </w:r>
      </w:hyperlink>
      <w:r>
        <w:t>.</w:t>
      </w:r>
    </w:p>
    <w:p w14:paraId="058B22AE" w14:textId="77777777" w:rsidR="00846DAE" w:rsidRDefault="00000000">
      <w:pPr>
        <w:pStyle w:val="Bibliography"/>
      </w:pPr>
      <w:bookmarkStart w:id="52" w:name="ref-Brown2023Searching"/>
      <w:bookmarkEnd w:id="51"/>
      <w:r>
        <w:t xml:space="preserve">Brown, Bianca, Botagoz Tusmagambet, Valentino Rahming, Chun-Ying Tu, Michael B. DeSalvo, and Seth Wiener. 2023. “Searching for the “Native” Speaker: A Preregistered Conceptual Replication and Extension of Reid, Trofimovich, and O’Brien (2019).” </w:t>
      </w:r>
      <w:r>
        <w:rPr>
          <w:i/>
          <w:iCs/>
        </w:rPr>
        <w:t>Applied Psycholinguistics</w:t>
      </w:r>
      <w:r>
        <w:t xml:space="preserve"> 44 (4): 475–94. </w:t>
      </w:r>
      <w:hyperlink r:id="rId25">
        <w:r>
          <w:rPr>
            <w:rStyle w:val="Hyperlink"/>
          </w:rPr>
          <w:t>https://doi.org/10.1017/S0142716423000127</w:t>
        </w:r>
      </w:hyperlink>
      <w:r>
        <w:t>.</w:t>
      </w:r>
    </w:p>
    <w:p w14:paraId="45BE32BF" w14:textId="77777777" w:rsidR="00846DAE" w:rsidRDefault="00000000">
      <w:pPr>
        <w:pStyle w:val="Bibliography"/>
      </w:pPr>
      <w:bookmarkStart w:id="53" w:name="ref-deBruin2019Not"/>
      <w:bookmarkEnd w:id="52"/>
      <w:r>
        <w:t xml:space="preserve">Bruin, Angela de. 2019. “Not All Bilinguals Are the Same: A Call for More Detailed Assessments and Descriptions of Bilingual Experiences.” </w:t>
      </w:r>
      <w:r>
        <w:rPr>
          <w:i/>
          <w:iCs/>
        </w:rPr>
        <w:t>Behavioral Sciences</w:t>
      </w:r>
      <w:r>
        <w:t xml:space="preserve"> 9 (3): 33. </w:t>
      </w:r>
      <w:hyperlink r:id="rId26">
        <w:r>
          <w:rPr>
            <w:rStyle w:val="Hyperlink"/>
          </w:rPr>
          <w:t>https://doi.org/10.3390/bs9030033</w:t>
        </w:r>
      </w:hyperlink>
      <w:r>
        <w:t>.</w:t>
      </w:r>
    </w:p>
    <w:p w14:paraId="2CAD9271" w14:textId="77777777" w:rsidR="00846DAE" w:rsidRDefault="00000000">
      <w:pPr>
        <w:pStyle w:val="Bibliography"/>
      </w:pPr>
      <w:bookmarkStart w:id="54" w:name="ref-Burkner2017brms"/>
      <w:bookmarkEnd w:id="53"/>
      <w:r>
        <w:t xml:space="preserve">Bürkner, Paul-Christian. 2017. “Brms: An R Package for Bayesian Multilevel Models Using Stan.” </w:t>
      </w:r>
      <w:r>
        <w:rPr>
          <w:i/>
          <w:iCs/>
        </w:rPr>
        <w:t>Journal of Statistical Software</w:t>
      </w:r>
      <w:r>
        <w:t xml:space="preserve"> 80 (August): 1–28. </w:t>
      </w:r>
      <w:hyperlink r:id="rId27">
        <w:r>
          <w:rPr>
            <w:rStyle w:val="Hyperlink"/>
          </w:rPr>
          <w:t>https://doi.org/10.18637/jss.v080.i01</w:t>
        </w:r>
      </w:hyperlink>
      <w:r>
        <w:t>.</w:t>
      </w:r>
    </w:p>
    <w:p w14:paraId="19D7D6B7" w14:textId="77777777" w:rsidR="00846DAE" w:rsidRDefault="00000000">
      <w:pPr>
        <w:pStyle w:val="Bibliography"/>
      </w:pPr>
      <w:bookmarkStart w:id="55" w:name="ref-Castro2022Am"/>
      <w:bookmarkEnd w:id="54"/>
      <w:r>
        <w:t xml:space="preserve">Castro, Sofía, Zofia Wodniecka, and Kalinka Timmer. 2022. “Am I Truly Monolingual? Exploring Foreign Language Experiences in Monolinguals.” Edited by Simone Sulpizio. </w:t>
      </w:r>
      <w:r>
        <w:rPr>
          <w:i/>
          <w:iCs/>
        </w:rPr>
        <w:t>PLOS ONE</w:t>
      </w:r>
      <w:r>
        <w:t xml:space="preserve"> 17 (3): Article e0265563. </w:t>
      </w:r>
      <w:hyperlink r:id="rId28">
        <w:r>
          <w:rPr>
            <w:rStyle w:val="Hyperlink"/>
          </w:rPr>
          <w:t>https://doi.org/10.1371/journal.pone.0265563</w:t>
        </w:r>
      </w:hyperlink>
      <w:r>
        <w:t>.</w:t>
      </w:r>
    </w:p>
    <w:p w14:paraId="0854DFE8" w14:textId="77777777" w:rsidR="00846DAE" w:rsidRDefault="00000000">
      <w:pPr>
        <w:pStyle w:val="Bibliography"/>
      </w:pPr>
      <w:bookmarkStart w:id="56" w:name="ref-DeLuca2019Redefining"/>
      <w:bookmarkEnd w:id="55"/>
      <w:r>
        <w:lastRenderedPageBreak/>
        <w:t xml:space="preserve">DeLuca, Vincent, Jason Rothman, Ellen Bialystok, and Christos Pliatsikas. 2019. “Redefining Bilingualism as a Spectrum of Experiences That Differentially Affects Brain Structure and Function.” </w:t>
      </w:r>
      <w:r>
        <w:rPr>
          <w:i/>
          <w:iCs/>
        </w:rPr>
        <w:t>Proceedings of the National Academy of Sciences</w:t>
      </w:r>
      <w:r>
        <w:t xml:space="preserve"> 116 (15): 7565–74. </w:t>
      </w:r>
      <w:hyperlink r:id="rId29">
        <w:r>
          <w:rPr>
            <w:rStyle w:val="Hyperlink"/>
          </w:rPr>
          <w:t>https://doi.org/10.1073/pnas.1811513116</w:t>
        </w:r>
      </w:hyperlink>
      <w:r>
        <w:t>.</w:t>
      </w:r>
    </w:p>
    <w:p w14:paraId="3B1E8E50" w14:textId="77777777" w:rsidR="00846DAE" w:rsidRDefault="00000000">
      <w:pPr>
        <w:pStyle w:val="Bibliography"/>
      </w:pPr>
      <w:bookmarkStart w:id="57" w:name="ref-Fuhrmeister2021Structural"/>
      <w:bookmarkEnd w:id="56"/>
      <w:r>
        <w:t xml:space="preserve">Fuhrmeister, Pamela, and Emily B. Myers. 2021. “Structural Neural Correlates of Individual Differences in Categorical Perception.” </w:t>
      </w:r>
      <w:r>
        <w:rPr>
          <w:i/>
          <w:iCs/>
        </w:rPr>
        <w:t>Brain and Language</w:t>
      </w:r>
      <w:r>
        <w:t xml:space="preserve"> 215 (April): 104919. </w:t>
      </w:r>
      <w:hyperlink r:id="rId30">
        <w:r>
          <w:rPr>
            <w:rStyle w:val="Hyperlink"/>
          </w:rPr>
          <w:t>https://doi.org/10.1016/j.bandl.2021.104919</w:t>
        </w:r>
      </w:hyperlink>
      <w:r>
        <w:t>.</w:t>
      </w:r>
    </w:p>
    <w:p w14:paraId="1E467466" w14:textId="77777777" w:rsidR="00846DAE" w:rsidRDefault="00000000">
      <w:pPr>
        <w:pStyle w:val="Bibliography"/>
      </w:pPr>
      <w:bookmarkStart w:id="58" w:name="ref-Fuhrmeister2023Relationships"/>
      <w:bookmarkEnd w:id="57"/>
      <w:r>
        <w:t xml:space="preserve">Fuhrmeister, Pamela, Matthew C. Phillips, D. Betsy McCoach, and Emily B. Myers. 2023. “Relationships Between Native and Non-Native Speech Perception.” </w:t>
      </w:r>
      <w:r>
        <w:rPr>
          <w:i/>
          <w:iCs/>
        </w:rPr>
        <w:t>Journal of Experimental Psychology: Learning, Memory, and Cognition</w:t>
      </w:r>
      <w:r>
        <w:t xml:space="preserve"> 49 (7): 1161–75. </w:t>
      </w:r>
      <w:hyperlink r:id="rId31">
        <w:r>
          <w:rPr>
            <w:rStyle w:val="Hyperlink"/>
          </w:rPr>
          <w:t>https://doi.org/10.1037/xlm0001213</w:t>
        </w:r>
      </w:hyperlink>
      <w:r>
        <w:t>.</w:t>
      </w:r>
    </w:p>
    <w:p w14:paraId="0FEC1EA9" w14:textId="77777777" w:rsidR="00846DAE" w:rsidRDefault="00000000">
      <w:pPr>
        <w:pStyle w:val="Bibliography"/>
      </w:pPr>
      <w:bookmarkStart w:id="59" w:name="ref-Gelman2019Rsquared"/>
      <w:bookmarkEnd w:id="58"/>
      <w:r>
        <w:t xml:space="preserve">Gelman, Andrew, Ben Goodrich, Jonah Gabry, and Aki Vehtari. 2019. “R-Squared for Bayesian Regression Models.” </w:t>
      </w:r>
      <w:r>
        <w:rPr>
          <w:i/>
          <w:iCs/>
        </w:rPr>
        <w:t>The American Statistician</w:t>
      </w:r>
      <w:r>
        <w:t xml:space="preserve"> 73 (3): 307–9. </w:t>
      </w:r>
      <w:hyperlink r:id="rId32">
        <w:r>
          <w:rPr>
            <w:rStyle w:val="Hyperlink"/>
          </w:rPr>
          <w:t>https://doi.org/10.1080/00031305.2018.1549100</w:t>
        </w:r>
      </w:hyperlink>
      <w:r>
        <w:t>.</w:t>
      </w:r>
    </w:p>
    <w:p w14:paraId="7060F64F" w14:textId="77777777" w:rsidR="00846DAE" w:rsidRDefault="00000000">
      <w:pPr>
        <w:pStyle w:val="Bibliography"/>
      </w:pPr>
      <w:bookmarkStart w:id="60" w:name="ref-Gullifer2018Bilingual"/>
      <w:bookmarkEnd w:id="59"/>
      <w:r>
        <w:t xml:space="preserve">Gullifer, Jason W., Xiaoqian J. Chai, Veronica Whitford, Irina Pivneva, Shari Baum, Denise Klein, and Debra Titone. 2018. “Bilingual Experience and Resting-State Brain Connectivity: Impacts of L2 Age of Acquisition and Social Diversity of Language Use on Control Networks.” </w:t>
      </w:r>
      <w:r>
        <w:rPr>
          <w:i/>
          <w:iCs/>
        </w:rPr>
        <w:t>Neuropsychologia</w:t>
      </w:r>
      <w:r>
        <w:t xml:space="preserve"> 117 (August): 123–34. </w:t>
      </w:r>
      <w:hyperlink r:id="rId33">
        <w:r>
          <w:rPr>
            <w:rStyle w:val="Hyperlink"/>
          </w:rPr>
          <w:t>https://doi.org/10.1016/j.neuropsychologia.2018.04.037</w:t>
        </w:r>
      </w:hyperlink>
      <w:r>
        <w:t>.</w:t>
      </w:r>
    </w:p>
    <w:p w14:paraId="52D62863" w14:textId="77777777" w:rsidR="00846DAE" w:rsidRDefault="00000000">
      <w:pPr>
        <w:pStyle w:val="Bibliography"/>
      </w:pPr>
      <w:bookmarkStart w:id="61" w:name="ref-Gullifer2021Bilingual"/>
      <w:bookmarkEnd w:id="60"/>
      <w:r>
        <w:t xml:space="preserve">Gullifer, Jason W., Shanna Kousaie, Annie C. Gilbert, Angela Grant, Nathalie Giroud, Kristina Coulter, Denise Klein, Shari Baum, Natalie Phillips, and Debra Titone. 2021. “Bilingual Language Experience as a Multidimensional Spectrum: Associations with Objective and </w:t>
      </w:r>
      <w:r>
        <w:lastRenderedPageBreak/>
        <w:t xml:space="preserve">Subjective Language Proficiency.” </w:t>
      </w:r>
      <w:r>
        <w:rPr>
          <w:i/>
          <w:iCs/>
        </w:rPr>
        <w:t>Applied Psycholinguistics</w:t>
      </w:r>
      <w:r>
        <w:t xml:space="preserve"> 42 (2): 245–78. </w:t>
      </w:r>
      <w:hyperlink r:id="rId34">
        <w:r>
          <w:rPr>
            <w:rStyle w:val="Hyperlink"/>
          </w:rPr>
          <w:t>https://doi.org/10.1017/S0142716420000521</w:t>
        </w:r>
      </w:hyperlink>
      <w:r>
        <w:t>.</w:t>
      </w:r>
    </w:p>
    <w:p w14:paraId="7CD8492F" w14:textId="77777777" w:rsidR="00846DAE" w:rsidRDefault="00000000">
      <w:pPr>
        <w:pStyle w:val="Bibliography"/>
      </w:pPr>
      <w:bookmarkStart w:id="62" w:name="ref-Gullifer2020Characterizing"/>
      <w:bookmarkEnd w:id="61"/>
      <w:r>
        <w:t xml:space="preserve">Gullifer, Jason W., and Debra Titone. 2020. “Characterizing the Social Diversity of Bilingualism Using Language Entropy.” </w:t>
      </w:r>
      <w:r>
        <w:rPr>
          <w:i/>
          <w:iCs/>
        </w:rPr>
        <w:t>Bilingualism: Language and Cognition</w:t>
      </w:r>
      <w:r>
        <w:t xml:space="preserve"> 23 (2): 283–94. </w:t>
      </w:r>
      <w:hyperlink r:id="rId35">
        <w:r>
          <w:rPr>
            <w:rStyle w:val="Hyperlink"/>
          </w:rPr>
          <w:t>https://doi.org/10.1017/S1366728919000026</w:t>
        </w:r>
      </w:hyperlink>
      <w:r>
        <w:t>.</w:t>
      </w:r>
    </w:p>
    <w:p w14:paraId="107C8D82" w14:textId="77777777" w:rsidR="00846DAE" w:rsidRDefault="00000000">
      <w:pPr>
        <w:pStyle w:val="Bibliography"/>
      </w:pPr>
      <w:bookmarkStart w:id="63" w:name="ref-Hickendorff2018Informative"/>
      <w:bookmarkEnd w:id="62"/>
      <w:r>
        <w:t xml:space="preserve">Hickendorff, Marian, Peter A. Edelsbrunner, Jake McMullen, Michael Schneider, and Kelly Trezise. 2018. “Informative Tools for Characterizing Individual Differences in Learning: Latent Class, Latent Profile, and Latent Transition Analysis.” </w:t>
      </w:r>
      <w:r>
        <w:rPr>
          <w:i/>
          <w:iCs/>
        </w:rPr>
        <w:t>Learning and Individual Differences</w:t>
      </w:r>
      <w:r>
        <w:t xml:space="preserve"> 66 (August): 4–15. </w:t>
      </w:r>
      <w:hyperlink r:id="rId36">
        <w:r>
          <w:rPr>
            <w:rStyle w:val="Hyperlink"/>
          </w:rPr>
          <w:t>https://doi.org/10.1016/j.lindif.2017.11.001</w:t>
        </w:r>
      </w:hyperlink>
      <w:r>
        <w:t>.</w:t>
      </w:r>
    </w:p>
    <w:p w14:paraId="154D6A41" w14:textId="77777777" w:rsidR="00846DAE" w:rsidRDefault="00000000">
      <w:pPr>
        <w:pStyle w:val="Bibliography"/>
      </w:pPr>
      <w:bookmarkStart w:id="64" w:name="ref-Honda2024Exploring"/>
      <w:bookmarkEnd w:id="63"/>
      <w:r>
        <w:t xml:space="preserve">Honda, Claire T., Meghan Clayards, and Shari R. Baum. 2024. “Exploring Individual Differences in Native Phonetic Perception and Their Link to Nonnative Phonetic Perception.” </w:t>
      </w:r>
      <w:r>
        <w:rPr>
          <w:i/>
          <w:iCs/>
        </w:rPr>
        <w:t>Journal of Experimental Psychology: Human Perception and Performance</w:t>
      </w:r>
      <w:r>
        <w:t xml:space="preserve"> 50 (4): 370–94. </w:t>
      </w:r>
      <w:hyperlink r:id="rId37">
        <w:r>
          <w:rPr>
            <w:rStyle w:val="Hyperlink"/>
          </w:rPr>
          <w:t>https://doi.org/10.1037/xhp0001191</w:t>
        </w:r>
      </w:hyperlink>
      <w:r>
        <w:t>.</w:t>
      </w:r>
    </w:p>
    <w:p w14:paraId="55F1F1AA" w14:textId="77777777" w:rsidR="00846DAE" w:rsidRDefault="00000000">
      <w:pPr>
        <w:pStyle w:val="Bibliography"/>
      </w:pPr>
      <w:bookmarkStart w:id="65" w:name="ref-Hui2018Analyzing"/>
      <w:bookmarkEnd w:id="64"/>
      <w:r>
        <w:t xml:space="preserve">Hui, Bronson. 2018. “Analyzing Processing Time Data in Applied Linguistics and Second Language Research: A Multivariate Mixed-Effects Approach.” </w:t>
      </w:r>
      <w:r>
        <w:rPr>
          <w:i/>
          <w:iCs/>
        </w:rPr>
        <w:t>Journal of Research Design and Statistics in Linguistics and Communication Science</w:t>
      </w:r>
      <w:r>
        <w:t xml:space="preserve"> 5 (1-2): 189–207. </w:t>
      </w:r>
      <w:hyperlink r:id="rId38">
        <w:r>
          <w:rPr>
            <w:rStyle w:val="Hyperlink"/>
          </w:rPr>
          <w:t>https://doi.org/10.1558/jrds.39117</w:t>
        </w:r>
      </w:hyperlink>
      <w:r>
        <w:t>.</w:t>
      </w:r>
    </w:p>
    <w:p w14:paraId="3DD0ED7C" w14:textId="77777777" w:rsidR="00846DAE" w:rsidRDefault="00000000">
      <w:pPr>
        <w:pStyle w:val="Bibliography"/>
      </w:pPr>
      <w:bookmarkStart w:id="66" w:name="ref-Kalamala2023Bilingualism"/>
      <w:bookmarkEnd w:id="65"/>
      <w:r>
        <w:t xml:space="preserve">Kałamała, Patrycja, Adam Chuderski, Jakub Szewczyk, Magdalena Senderecka, and Zofia Wodniecka. 2023. “Bilingualism Caught in a Net: A New Approach to Understanding the Complexity of Bilingual Experience.” </w:t>
      </w:r>
      <w:r>
        <w:rPr>
          <w:i/>
          <w:iCs/>
        </w:rPr>
        <w:t>Journal of Experimental Psychology: General</w:t>
      </w:r>
      <w:r>
        <w:t xml:space="preserve"> 152 (1): 157–74. </w:t>
      </w:r>
      <w:hyperlink r:id="rId39">
        <w:r>
          <w:rPr>
            <w:rStyle w:val="Hyperlink"/>
          </w:rPr>
          <w:t>https://doi.org/10.1037/xge0001263</w:t>
        </w:r>
      </w:hyperlink>
      <w:r>
        <w:t>.</w:t>
      </w:r>
    </w:p>
    <w:p w14:paraId="13338903" w14:textId="77777777" w:rsidR="00846DAE" w:rsidRDefault="00000000">
      <w:pPr>
        <w:pStyle w:val="Bibliography"/>
      </w:pPr>
      <w:bookmarkStart w:id="67" w:name="ref-Kalamala2022multidimensionality"/>
      <w:bookmarkEnd w:id="66"/>
      <w:r>
        <w:t xml:space="preserve">Kałamała, Patrycja, Magdalena Senderecka, and Zofia Wodniecka. 2022. “On the Multidimensionality of Bilingualism and the Unique Role of Language Use.” </w:t>
      </w:r>
      <w:r>
        <w:rPr>
          <w:i/>
          <w:iCs/>
        </w:rPr>
        <w:lastRenderedPageBreak/>
        <w:t>Bilingualism: Language and Cognition</w:t>
      </w:r>
      <w:r>
        <w:t xml:space="preserve"> 25 (3): 471–83. </w:t>
      </w:r>
      <w:hyperlink r:id="rId40">
        <w:r>
          <w:rPr>
            <w:rStyle w:val="Hyperlink"/>
          </w:rPr>
          <w:t>https://doi.org/10.1017/S1366728921001073</w:t>
        </w:r>
      </w:hyperlink>
      <w:r>
        <w:t>.</w:t>
      </w:r>
    </w:p>
    <w:p w14:paraId="3B1BFF33" w14:textId="77777777" w:rsidR="00846DAE" w:rsidRDefault="00000000">
      <w:pPr>
        <w:pStyle w:val="Bibliography"/>
      </w:pPr>
      <w:bookmarkStart w:id="68" w:name="ref-Kapnoula2021Gradient"/>
      <w:bookmarkEnd w:id="67"/>
      <w:r>
        <w:t xml:space="preserve">Kapnoula, Efthymia C., Jan Edwards, and Bob McMurray. 2021. “Gradient Activation of Speech Categories Facilitates Listeners’ Recovery from Lexical Garden Paths, but Not Perception of Speech-in-Noise.” </w:t>
      </w:r>
      <w:r>
        <w:rPr>
          <w:i/>
          <w:iCs/>
        </w:rPr>
        <w:t>Journal of Experimental Psychology. Human Perception and Performance</w:t>
      </w:r>
      <w:r>
        <w:t xml:space="preserve"> 47 (4): 578–95. </w:t>
      </w:r>
      <w:hyperlink r:id="rId41">
        <w:r>
          <w:rPr>
            <w:rStyle w:val="Hyperlink"/>
          </w:rPr>
          <w:t>https://doi.org/10.1037/xhp0000900</w:t>
        </w:r>
      </w:hyperlink>
      <w:r>
        <w:t>.</w:t>
      </w:r>
    </w:p>
    <w:p w14:paraId="3C1A0977" w14:textId="77777777" w:rsidR="00846DAE" w:rsidRDefault="00000000">
      <w:pPr>
        <w:pStyle w:val="Bibliography"/>
      </w:pPr>
      <w:bookmarkStart w:id="69" w:name="ref-Kapnoula2021Idiosyncratic"/>
      <w:bookmarkEnd w:id="68"/>
      <w:r>
        <w:t xml:space="preserve">Kapnoula, Efthymia C., and Bob McMurray. 2021. “Idiosyncratic Use of Bottom-up and Top-down Information Leads to Differences in Speech Perception Flexibility: Converging Evidence from ERPs and Eye-Tracking.” </w:t>
      </w:r>
      <w:r>
        <w:rPr>
          <w:i/>
          <w:iCs/>
        </w:rPr>
        <w:t>Brain and Language</w:t>
      </w:r>
      <w:r>
        <w:t xml:space="preserve"> 223 (December): 105031. </w:t>
      </w:r>
      <w:hyperlink r:id="rId42">
        <w:r>
          <w:rPr>
            <w:rStyle w:val="Hyperlink"/>
          </w:rPr>
          <w:t>https://doi.org/10.1016/j.bandl.2021.105031</w:t>
        </w:r>
      </w:hyperlink>
      <w:r>
        <w:t>.</w:t>
      </w:r>
    </w:p>
    <w:p w14:paraId="4DE9EE13" w14:textId="77777777" w:rsidR="00846DAE" w:rsidRDefault="00000000">
      <w:pPr>
        <w:pStyle w:val="Bibliography"/>
      </w:pPr>
      <w:bookmarkStart w:id="70" w:name="ref-Kapnoula2024Sensitivity"/>
      <w:bookmarkEnd w:id="69"/>
      <w:r>
        <w:t xml:space="preserve">Kapnoula, Efthymia C., and Arthur G. Samuel. 2024. “Sensitivity to Subphonemic Differences in First Language Predicts Vocabulary Size in a Foreign Language.” </w:t>
      </w:r>
      <w:r>
        <w:rPr>
          <w:i/>
          <w:iCs/>
        </w:rPr>
        <w:t>Language Learning</w:t>
      </w:r>
      <w:r>
        <w:t xml:space="preserve"> 74 (4): 950–84. https://doi.org/</w:t>
      </w:r>
      <w:hyperlink r:id="rId43">
        <w:r>
          <w:rPr>
            <w:rStyle w:val="Hyperlink"/>
          </w:rPr>
          <w:t>https://doi.org/10.1111/lang.12650</w:t>
        </w:r>
      </w:hyperlink>
      <w:r>
        <w:t>.</w:t>
      </w:r>
    </w:p>
    <w:p w14:paraId="225F328F" w14:textId="77777777" w:rsidR="00846DAE" w:rsidRDefault="00000000">
      <w:pPr>
        <w:pStyle w:val="Bibliography"/>
      </w:pPr>
      <w:bookmarkStart w:id="71" w:name="ref-Kapnoula2017Evaluating"/>
      <w:bookmarkEnd w:id="70"/>
      <w:r>
        <w:t xml:space="preserve">Kapnoula, Efthymia C., Matthew B. Winn, Eun Jong Kong, Jan Edwards, and Bob McMurray. 2017. “Evaluating the Sources and Functions of Gradiency in Phoneme Categorization: An Individual Differences Approach.” </w:t>
      </w:r>
      <w:r>
        <w:rPr>
          <w:i/>
          <w:iCs/>
        </w:rPr>
        <w:t>Journal of Experimental Psychology. Human Perception and Performance</w:t>
      </w:r>
      <w:r>
        <w:t xml:space="preserve"> 43 (9): 1594–1611. </w:t>
      </w:r>
      <w:hyperlink r:id="rId44">
        <w:r>
          <w:rPr>
            <w:rStyle w:val="Hyperlink"/>
          </w:rPr>
          <w:t>https://doi.org/10.1037/xhp0000410</w:t>
        </w:r>
      </w:hyperlink>
      <w:r>
        <w:t>.</w:t>
      </w:r>
    </w:p>
    <w:p w14:paraId="392361C1" w14:textId="77777777" w:rsidR="00846DAE" w:rsidRDefault="00000000">
      <w:pPr>
        <w:pStyle w:val="Bibliography"/>
      </w:pPr>
      <w:bookmarkStart w:id="72" w:name="ref-Kepinska2023Language"/>
      <w:bookmarkEnd w:id="71"/>
      <w:r>
        <w:t xml:space="preserve">Kepinska, Olga, Jocelyn Caballero, Myriam Oliver, Rebecca A. Marks, Stephanie L. Haft, Leo Zekelman, Ioulia Kovelman, Yuuko Uchikoshi, and Fumiko Hoeft. 2023. “Language Combinations of Multilinguals Are Reflected in Their First-Language Knowledge and Processing.” </w:t>
      </w:r>
      <w:r>
        <w:rPr>
          <w:i/>
          <w:iCs/>
        </w:rPr>
        <w:t>Scientific Reports</w:t>
      </w:r>
      <w:r>
        <w:t xml:space="preserve"> 13 (1): 1947. </w:t>
      </w:r>
      <w:hyperlink r:id="rId45">
        <w:r>
          <w:rPr>
            <w:rStyle w:val="Hyperlink"/>
          </w:rPr>
          <w:t>https://doi.org/10.1038/s41598-023-27952-2</w:t>
        </w:r>
      </w:hyperlink>
      <w:r>
        <w:t>.</w:t>
      </w:r>
    </w:p>
    <w:p w14:paraId="1D69FFBC" w14:textId="77777777" w:rsidR="00846DAE" w:rsidRDefault="00000000">
      <w:pPr>
        <w:pStyle w:val="Bibliography"/>
      </w:pPr>
      <w:bookmarkStart w:id="73" w:name="ref-Kim2020Individual"/>
      <w:bookmarkEnd w:id="72"/>
      <w:r>
        <w:lastRenderedPageBreak/>
        <w:t xml:space="preserve">Kim, </w:t>
      </w:r>
      <w:proofErr w:type="spellStart"/>
      <w:r>
        <w:t>Donghyun</w:t>
      </w:r>
      <w:proofErr w:type="spellEnd"/>
      <w:r>
        <w:t xml:space="preserve">, Meghan Clayards, and Eun Jong Kong. 2020. “Individual Differences in Perceptual Adaptation to Unfamiliar Phonetic Categories.” </w:t>
      </w:r>
      <w:r>
        <w:rPr>
          <w:i/>
          <w:iCs/>
        </w:rPr>
        <w:t>Journal of Phonetics</w:t>
      </w:r>
      <w:r>
        <w:t xml:space="preserve"> 81 (July): 100984. </w:t>
      </w:r>
      <w:hyperlink r:id="rId46">
        <w:r>
          <w:rPr>
            <w:rStyle w:val="Hyperlink"/>
          </w:rPr>
          <w:t>https://doi.org/10.1016/j.wocn.2020.100984</w:t>
        </w:r>
      </w:hyperlink>
      <w:r>
        <w:t>.</w:t>
      </w:r>
    </w:p>
    <w:p w14:paraId="068481E1" w14:textId="77777777" w:rsidR="00846DAE" w:rsidRDefault="00000000">
      <w:pPr>
        <w:pStyle w:val="Bibliography"/>
      </w:pPr>
      <w:bookmarkStart w:id="74" w:name="ref-Kong2016Individual"/>
      <w:bookmarkEnd w:id="73"/>
      <w:r>
        <w:t xml:space="preserve">Kong, Eun Jong, and Jan Edwards. 2016. “Individual Differences in Categorical Perception of Speech: Cue Weighting and Executive Function.” </w:t>
      </w:r>
      <w:r>
        <w:rPr>
          <w:i/>
          <w:iCs/>
        </w:rPr>
        <w:t>Journal of Phonetics</w:t>
      </w:r>
      <w:r>
        <w:t xml:space="preserve"> 59 (November): 40–57. </w:t>
      </w:r>
      <w:hyperlink r:id="rId47">
        <w:r>
          <w:rPr>
            <w:rStyle w:val="Hyperlink"/>
          </w:rPr>
          <w:t>https://doi.org/10.1016/j.wocn.2016.08.006</w:t>
        </w:r>
      </w:hyperlink>
      <w:r>
        <w:t>.</w:t>
      </w:r>
    </w:p>
    <w:p w14:paraId="24773928" w14:textId="77777777" w:rsidR="00846DAE" w:rsidRDefault="00000000">
      <w:pPr>
        <w:pStyle w:val="Bibliography"/>
      </w:pPr>
      <w:bookmarkStart w:id="75" w:name="ref-Kong2023Individual"/>
      <w:bookmarkEnd w:id="74"/>
      <w:r>
        <w:t xml:space="preserve">Kong, Eun Jong, and Soyoung Kang. 2023. “Individual Differences in Categorical Judgment of L2 Stops: A Link to Proficiency and Acoustic Cue-Weighting.” </w:t>
      </w:r>
      <w:r>
        <w:rPr>
          <w:i/>
          <w:iCs/>
        </w:rPr>
        <w:t>Language and Speech</w:t>
      </w:r>
      <w:r>
        <w:t xml:space="preserve"> 66 (2): 354–80. </w:t>
      </w:r>
      <w:hyperlink r:id="rId48">
        <w:r>
          <w:rPr>
            <w:rStyle w:val="Hyperlink"/>
          </w:rPr>
          <w:t>https://doi.org/10.1177/00238309221108647</w:t>
        </w:r>
      </w:hyperlink>
      <w:r>
        <w:t>.</w:t>
      </w:r>
    </w:p>
    <w:p w14:paraId="0CD871A6" w14:textId="77777777" w:rsidR="00846DAE" w:rsidRDefault="00000000">
      <w:pPr>
        <w:pStyle w:val="Bibliography"/>
      </w:pPr>
      <w:bookmarkStart w:id="76" w:name="ref-Kremin2021Why"/>
      <w:bookmarkEnd w:id="75"/>
      <w:r>
        <w:t xml:space="preserve">Kremin, Lena V., and Krista Byers-Heinlein. 2021. “Why Not Both? Rethinking Categorical and Continuous Approaches to Bilingualism.” </w:t>
      </w:r>
      <w:r>
        <w:rPr>
          <w:i/>
          <w:iCs/>
        </w:rPr>
        <w:t>International Journal of Bilingualism</w:t>
      </w:r>
      <w:r>
        <w:t xml:space="preserve"> 25 (6): 1560–75. </w:t>
      </w:r>
      <w:hyperlink r:id="rId49">
        <w:r>
          <w:rPr>
            <w:rStyle w:val="Hyperlink"/>
          </w:rPr>
          <w:t>https://doi.org/10.1177/13670069211031986</w:t>
        </w:r>
      </w:hyperlink>
      <w:r>
        <w:t>.</w:t>
      </w:r>
    </w:p>
    <w:p w14:paraId="668CB708" w14:textId="77777777" w:rsidR="00846DAE" w:rsidRDefault="00000000">
      <w:pPr>
        <w:pStyle w:val="Bibliography"/>
      </w:pPr>
      <w:bookmarkStart w:id="77" w:name="ref-Kutlu2024Social"/>
      <w:bookmarkEnd w:id="76"/>
      <w:r>
        <w:t xml:space="preserve">Kutlu, Ethan, Keith S. Apfelbaum, Eldon Sorensen, Jacob Oleson, and Bob McMurray. 2024. “Social Network Diversity Leads to More Flexible Speech Perception in School-Aged Children.” OSF. </w:t>
      </w:r>
      <w:hyperlink r:id="rId50">
        <w:r>
          <w:rPr>
            <w:rStyle w:val="Hyperlink"/>
          </w:rPr>
          <w:t>https://doi.org/10.31234/osf.io/c9u4y</w:t>
        </w:r>
      </w:hyperlink>
      <w:r>
        <w:t>.</w:t>
      </w:r>
    </w:p>
    <w:p w14:paraId="3F56A3EB" w14:textId="77777777" w:rsidR="00846DAE" w:rsidRDefault="00000000">
      <w:pPr>
        <w:pStyle w:val="Bibliography"/>
      </w:pPr>
      <w:bookmarkStart w:id="78" w:name="ref-Kutlu2022Moving"/>
      <w:bookmarkEnd w:id="77"/>
      <w:r>
        <w:t xml:space="preserve">Kutlu, Ethan, Samantha Chiu, and Bob McMurray. 2022. “Moving Away from Deficiency Models: Gradiency in Bilingual Speech Categorization.” </w:t>
      </w:r>
      <w:r>
        <w:rPr>
          <w:i/>
          <w:iCs/>
        </w:rPr>
        <w:t>Frontiers in Psychology</w:t>
      </w:r>
      <w:r>
        <w:t xml:space="preserve"> 13. </w:t>
      </w:r>
      <w:hyperlink r:id="rId51">
        <w:r>
          <w:rPr>
            <w:rStyle w:val="Hyperlink"/>
          </w:rPr>
          <w:t>https://www.frontiersin.org/articles/10.3389/fpsyg.2022.1033825</w:t>
        </w:r>
      </w:hyperlink>
      <w:r>
        <w:t>.</w:t>
      </w:r>
    </w:p>
    <w:p w14:paraId="79DB4B6E" w14:textId="77777777" w:rsidR="00846DAE" w:rsidRDefault="00000000">
      <w:pPr>
        <w:pStyle w:val="Bibliography"/>
      </w:pPr>
      <w:bookmarkStart w:id="79" w:name="ref-Li2020Language"/>
      <w:bookmarkEnd w:id="78"/>
      <w:r>
        <w:t xml:space="preserve">Li, Ping, Fan Zhang, Anya Yu, and Xiaowei Zhao. 2020. “Language History Questionnaire (LHQ3): An Enhanced Tool for Assessing Multilingual Experience.” </w:t>
      </w:r>
      <w:r>
        <w:rPr>
          <w:i/>
          <w:iCs/>
        </w:rPr>
        <w:t>Bilingualism: Language and Cognition</w:t>
      </w:r>
      <w:r>
        <w:t xml:space="preserve"> 23 (5): 938–44. </w:t>
      </w:r>
      <w:hyperlink r:id="rId52">
        <w:r>
          <w:rPr>
            <w:rStyle w:val="Hyperlink"/>
          </w:rPr>
          <w:t>https://doi.org/10.1017/S1366728918001153</w:t>
        </w:r>
      </w:hyperlink>
      <w:r>
        <w:t>.</w:t>
      </w:r>
    </w:p>
    <w:p w14:paraId="6CE9ABBA" w14:textId="77777777" w:rsidR="00846DAE" w:rsidRDefault="00000000">
      <w:pPr>
        <w:pStyle w:val="Bibliography"/>
      </w:pPr>
      <w:bookmarkStart w:id="80" w:name="ref-Li2021Bilingual"/>
      <w:bookmarkEnd w:id="79"/>
      <w:r>
        <w:t xml:space="preserve">Li, Xiaoqian, Kwun Kei Ng, Joey Ju Yu Wong, Jia Wen Lee, Juan Helen Zhou, and W. Quin Yow. 2021. “Bilingual Language Entropy Influences Executive Functions Through </w:t>
      </w:r>
      <w:r>
        <w:lastRenderedPageBreak/>
        <w:t xml:space="preserve">Functional Connectivity and Signal Variability.” </w:t>
      </w:r>
      <w:r>
        <w:rPr>
          <w:i/>
          <w:iCs/>
        </w:rPr>
        <w:t>Brain and Language</w:t>
      </w:r>
      <w:r>
        <w:t xml:space="preserve"> 222 (November): 105026. </w:t>
      </w:r>
      <w:hyperlink r:id="rId53">
        <w:r>
          <w:rPr>
            <w:rStyle w:val="Hyperlink"/>
          </w:rPr>
          <w:t>https://doi.org/10.1016/j.bandl.2021.105026</w:t>
        </w:r>
      </w:hyperlink>
      <w:r>
        <w:t>.</w:t>
      </w:r>
    </w:p>
    <w:p w14:paraId="5B6DE6A5" w14:textId="77777777" w:rsidR="00846DAE" w:rsidRDefault="00000000">
      <w:pPr>
        <w:pStyle w:val="Bibliography"/>
      </w:pPr>
      <w:bookmarkStart w:id="81" w:name="ref-Luk2015Who"/>
      <w:bookmarkEnd w:id="80"/>
      <w:r>
        <w:t xml:space="preserve">Luk, Gigi. 2015. “Who Are the Bilinguals (and Monolinguals)?” </w:t>
      </w:r>
      <w:r>
        <w:rPr>
          <w:i/>
          <w:iCs/>
        </w:rPr>
        <w:t>Bilingualism: Language and Cognition</w:t>
      </w:r>
      <w:r>
        <w:t xml:space="preserve"> 18 (1): 35–36. </w:t>
      </w:r>
      <w:hyperlink r:id="rId54">
        <w:r>
          <w:rPr>
            <w:rStyle w:val="Hyperlink"/>
          </w:rPr>
          <w:t>https://doi.org/10.1017/S1366728914000625</w:t>
        </w:r>
      </w:hyperlink>
      <w:r>
        <w:t>.</w:t>
      </w:r>
    </w:p>
    <w:p w14:paraId="22362D52" w14:textId="77777777" w:rsidR="00846DAE" w:rsidRDefault="00000000">
      <w:pPr>
        <w:pStyle w:val="Bibliography"/>
      </w:pPr>
      <w:bookmarkStart w:id="82" w:name="ref-Luk2013Bilingualism"/>
      <w:bookmarkEnd w:id="81"/>
      <w:r>
        <w:t xml:space="preserve">Luk, Gigi, and Ellen Bialystok. 2013. “Bilingualism Is Not a Categorical Variable: Interaction Between Language Proficiency and Usage.” </w:t>
      </w:r>
      <w:r>
        <w:rPr>
          <w:i/>
          <w:iCs/>
        </w:rPr>
        <w:t>Journal of Cognitive Psychology</w:t>
      </w:r>
      <w:r>
        <w:t xml:space="preserve"> 25 (5): 605–21. </w:t>
      </w:r>
      <w:hyperlink r:id="rId55">
        <w:r>
          <w:rPr>
            <w:rStyle w:val="Hyperlink"/>
          </w:rPr>
          <w:t>https://doi.org/10.1080/20445911.2013.795574</w:t>
        </w:r>
      </w:hyperlink>
      <w:r>
        <w:t>.</w:t>
      </w:r>
    </w:p>
    <w:p w14:paraId="1375736A" w14:textId="77777777" w:rsidR="00846DAE" w:rsidRDefault="00000000">
      <w:pPr>
        <w:pStyle w:val="Bibliography"/>
      </w:pPr>
      <w:bookmarkStart w:id="83" w:name="ref-Makowski2019Indices"/>
      <w:bookmarkEnd w:id="82"/>
      <w:r>
        <w:t xml:space="preserve">Makowski, Dominique, Mattan S. Ben-Shachar, S. H. Annabel Chen, and Daniel Lüdecke. 2019. “Indices of Effect Existence and Significance in the Bayesian Framework.” </w:t>
      </w:r>
      <w:r>
        <w:rPr>
          <w:i/>
          <w:iCs/>
        </w:rPr>
        <w:t>Frontiers in Psychology</w:t>
      </w:r>
      <w:r>
        <w:t xml:space="preserve"> 10 (December). </w:t>
      </w:r>
      <w:hyperlink r:id="rId56">
        <w:r>
          <w:rPr>
            <w:rStyle w:val="Hyperlink"/>
          </w:rPr>
          <w:t>https://doi.org/10.3389/fpsyg.2019.02767</w:t>
        </w:r>
      </w:hyperlink>
      <w:r>
        <w:t>.</w:t>
      </w:r>
    </w:p>
    <w:p w14:paraId="1BD96E12" w14:textId="77777777" w:rsidR="00846DAE" w:rsidRDefault="00000000">
      <w:pPr>
        <w:pStyle w:val="Bibliography"/>
      </w:pPr>
      <w:bookmarkStart w:id="84" w:name="ref-Makowski2019bayestestR"/>
      <w:bookmarkEnd w:id="83"/>
      <w:r>
        <w:t xml:space="preserve">Makowski, Dominique, Mattan S. Ben-Shachar, and Daniel Lüdecke. 2019. “bayestestR: Describing Effects and Their Uncertainty, Existence and Significance Within the Bayesian Framework.” </w:t>
      </w:r>
      <w:r>
        <w:rPr>
          <w:i/>
          <w:iCs/>
        </w:rPr>
        <w:t>Journal of Open Source Software</w:t>
      </w:r>
      <w:r>
        <w:t xml:space="preserve"> 4 (40): 1541. </w:t>
      </w:r>
      <w:hyperlink r:id="rId57">
        <w:r>
          <w:rPr>
            <w:rStyle w:val="Hyperlink"/>
          </w:rPr>
          <w:t>https://doi.org/10.21105/joss.01541</w:t>
        </w:r>
      </w:hyperlink>
      <w:r>
        <w:t>.</w:t>
      </w:r>
    </w:p>
    <w:p w14:paraId="7F6063BB" w14:textId="77777777" w:rsidR="00846DAE" w:rsidRDefault="00000000">
      <w:pPr>
        <w:pStyle w:val="Bibliography"/>
      </w:pPr>
      <w:bookmarkStart w:id="85" w:name="ref-Marian2007Language"/>
      <w:bookmarkEnd w:id="84"/>
      <w:r>
        <w:t xml:space="preserve">Marian, Viorica, Henrike K. Blumenfeld, and Margarita Kaushanskaya. 2007. “The Language Experience and Proficiency Questionnaire (LEAP-Q): Assessing Language Profiles in Bilinguals and Multilinguals.” </w:t>
      </w:r>
      <w:r>
        <w:rPr>
          <w:i/>
          <w:iCs/>
        </w:rPr>
        <w:t>Journal of Speech, Language, and Hearing Research</w:t>
      </w:r>
      <w:r>
        <w:t xml:space="preserve"> 50 (4): 940–67. </w:t>
      </w:r>
      <w:hyperlink r:id="rId58">
        <w:r>
          <w:rPr>
            <w:rStyle w:val="Hyperlink"/>
          </w:rPr>
          <w:t>https://doi.org/10.1044/1092-4388(2007/067)</w:t>
        </w:r>
      </w:hyperlink>
      <w:r>
        <w:t>.</w:t>
      </w:r>
    </w:p>
    <w:p w14:paraId="2FDEE9CE" w14:textId="77777777" w:rsidR="00846DAE" w:rsidRDefault="00000000">
      <w:pPr>
        <w:pStyle w:val="Bibliography"/>
      </w:pPr>
      <w:bookmarkStart w:id="86" w:name="ref-Marian2021Measuring"/>
      <w:bookmarkEnd w:id="85"/>
      <w:r>
        <w:t xml:space="preserve">Marian, Viorica, and Sayuri Hayakawa. 2021. “Measuring Bilingualism: The Quest for a “Bilingualism Quotient”.” </w:t>
      </w:r>
      <w:r>
        <w:rPr>
          <w:i/>
          <w:iCs/>
        </w:rPr>
        <w:t>Applied Psycholinguistics</w:t>
      </w:r>
      <w:r>
        <w:t xml:space="preserve"> 42 (2): 527–48. </w:t>
      </w:r>
      <w:hyperlink r:id="rId59">
        <w:r>
          <w:rPr>
            <w:rStyle w:val="Hyperlink"/>
          </w:rPr>
          <w:t>https://doi.org/10.1017/S0142716420000533</w:t>
        </w:r>
      </w:hyperlink>
      <w:r>
        <w:t>.</w:t>
      </w:r>
    </w:p>
    <w:p w14:paraId="15BC5AD5" w14:textId="77777777" w:rsidR="00846DAE" w:rsidRDefault="00000000">
      <w:pPr>
        <w:pStyle w:val="Bibliography"/>
      </w:pPr>
      <w:bookmarkStart w:id="87" w:name="ref-McMurray2017Nonlinear"/>
      <w:bookmarkEnd w:id="86"/>
      <w:r>
        <w:t xml:space="preserve">McMurray, Bob. 2017. “Nonlinear Curvefitting for Psycholinguistic (and Other) Data.” MATLAB. OSF. </w:t>
      </w:r>
      <w:hyperlink r:id="rId60">
        <w:r>
          <w:rPr>
            <w:rStyle w:val="Hyperlink"/>
          </w:rPr>
          <w:t>https://osf.io/4atgv/</w:t>
        </w:r>
      </w:hyperlink>
      <w:r>
        <w:t>.</w:t>
      </w:r>
    </w:p>
    <w:p w14:paraId="75F54C6E" w14:textId="77777777" w:rsidR="00846DAE" w:rsidRDefault="00000000">
      <w:pPr>
        <w:pStyle w:val="Bibliography"/>
      </w:pPr>
      <w:bookmarkStart w:id="88" w:name="ref-Milne2021online"/>
      <w:bookmarkEnd w:id="87"/>
      <w:r>
        <w:lastRenderedPageBreak/>
        <w:t xml:space="preserve">Milne, Alice E., Roberta Bianco, Katarina C. Poole, Sijia Zhao, Andrew J. Oxenham, Alexander J. Billig, and Maria Chait. 2021. “An Online Headphone Screening Test Based on Dichotic Pitch.” </w:t>
      </w:r>
      <w:r>
        <w:rPr>
          <w:i/>
          <w:iCs/>
        </w:rPr>
        <w:t>Behavior Research Methods</w:t>
      </w:r>
      <w:r>
        <w:t xml:space="preserve"> 53 (4): 1551–62. </w:t>
      </w:r>
      <w:hyperlink r:id="rId61">
        <w:r>
          <w:rPr>
            <w:rStyle w:val="Hyperlink"/>
          </w:rPr>
          <w:t>https://doi.org/10.3758/s13428-020-01514-0</w:t>
        </w:r>
      </w:hyperlink>
      <w:r>
        <w:t>.</w:t>
      </w:r>
    </w:p>
    <w:p w14:paraId="5E821ADC" w14:textId="77777777" w:rsidR="00846DAE" w:rsidRDefault="00000000">
      <w:pPr>
        <w:pStyle w:val="Bibliography"/>
      </w:pPr>
      <w:bookmarkStart w:id="89" w:name="ref-Paul-Dauphin1999Bias"/>
      <w:bookmarkEnd w:id="88"/>
      <w:r>
        <w:t xml:space="preserve">Paul-Dauphin, Agnès, Francis Guillemin, Jean-Marc Virion, and Serge Briançon. 1999. “Bias and Precision in Visual Analogue Scales: A Randomized Controlled Trial.” </w:t>
      </w:r>
      <w:r>
        <w:rPr>
          <w:i/>
          <w:iCs/>
        </w:rPr>
        <w:t>American Journal of Epidemiology</w:t>
      </w:r>
      <w:r>
        <w:t xml:space="preserve"> 150 (10): 1117–27. </w:t>
      </w:r>
      <w:hyperlink r:id="rId62">
        <w:r>
          <w:rPr>
            <w:rStyle w:val="Hyperlink"/>
          </w:rPr>
          <w:t>https://doi.org/10.1093/oxfordjournals.aje.a009937</w:t>
        </w:r>
      </w:hyperlink>
      <w:r>
        <w:t>.</w:t>
      </w:r>
    </w:p>
    <w:p w14:paraId="404D5059" w14:textId="77777777" w:rsidR="00846DAE" w:rsidRDefault="00000000">
      <w:pPr>
        <w:pStyle w:val="Bibliography"/>
      </w:pPr>
      <w:bookmarkStart w:id="90" w:name="ref-Shannon1948mathematical"/>
      <w:bookmarkEnd w:id="89"/>
      <w:r>
        <w:t xml:space="preserve">Shannon, C. E. 1948. “A Mathematical Theory of Communication.” </w:t>
      </w:r>
      <w:r>
        <w:rPr>
          <w:i/>
          <w:iCs/>
        </w:rPr>
        <w:t>The Bell System Technical Journal</w:t>
      </w:r>
      <w:r>
        <w:t xml:space="preserve"> 27 (3): 379–423. </w:t>
      </w:r>
      <w:hyperlink r:id="rId63">
        <w:r>
          <w:rPr>
            <w:rStyle w:val="Hyperlink"/>
          </w:rPr>
          <w:t>https://doi.org/10.1002/j.1538-7305.1948.tb01338.x</w:t>
        </w:r>
      </w:hyperlink>
      <w:r>
        <w:t>.</w:t>
      </w:r>
    </w:p>
    <w:p w14:paraId="71104BC8" w14:textId="77777777" w:rsidR="00846DAE" w:rsidRDefault="00000000">
      <w:pPr>
        <w:pStyle w:val="Bibliography"/>
      </w:pPr>
      <w:bookmarkStart w:id="91" w:name="ref-Sorensen2024Bayesiana"/>
      <w:bookmarkEnd w:id="90"/>
      <w:r>
        <w:t xml:space="preserve">Sorensen, Eldon, Jacob Oleson, Ethan Kutlu, and Bob McMurray. 2024. “A Bayesian Hierarchical Model for the Analysis of Visual Analogue Scaling Tasks.” </w:t>
      </w:r>
      <w:r>
        <w:rPr>
          <w:i/>
          <w:iCs/>
        </w:rPr>
        <w:t>Statistical Methods in Medical Research</w:t>
      </w:r>
      <w:r>
        <w:t xml:space="preserve">, April, 09622802241242319. </w:t>
      </w:r>
      <w:hyperlink r:id="rId64">
        <w:r>
          <w:rPr>
            <w:rStyle w:val="Hyperlink"/>
          </w:rPr>
          <w:t>https://doi.org/10.1177/09622802241242319</w:t>
        </w:r>
      </w:hyperlink>
      <w:r>
        <w:t>.</w:t>
      </w:r>
    </w:p>
    <w:p w14:paraId="1938359D" w14:textId="77777777" w:rsidR="00846DAE" w:rsidRDefault="00000000">
      <w:pPr>
        <w:pStyle w:val="Bibliography"/>
      </w:pPr>
      <w:bookmarkStart w:id="92" w:name="ref-Sulpizio2020Bilingualism"/>
      <w:bookmarkEnd w:id="91"/>
      <w:r>
        <w:t xml:space="preserve">Sulpizio, Simone, Nicola Del Maschio, Gianpaolo Del Mauro, Davide Fedeli, and Jubin Abutalebi. 2020. “Bilingualism as a Gradient Measure Modulates Functional Connectivity of Language and Control Networks.” </w:t>
      </w:r>
      <w:r>
        <w:rPr>
          <w:i/>
          <w:iCs/>
        </w:rPr>
        <w:t>NeuroImage</w:t>
      </w:r>
      <w:r>
        <w:t xml:space="preserve"> 205 (January): 116306. </w:t>
      </w:r>
      <w:hyperlink r:id="rId65">
        <w:r>
          <w:rPr>
            <w:rStyle w:val="Hyperlink"/>
          </w:rPr>
          <w:t>https://doi.org/10.1016/j.neuroimage.2019.116306</w:t>
        </w:r>
      </w:hyperlink>
      <w:r>
        <w:t>.</w:t>
      </w:r>
    </w:p>
    <w:p w14:paraId="1C6D888D" w14:textId="77777777" w:rsidR="00846DAE" w:rsidRDefault="00000000">
      <w:pPr>
        <w:pStyle w:val="Bibliography"/>
      </w:pPr>
      <w:bookmarkStart w:id="93" w:name="ref-Surrain2019Describing"/>
      <w:bookmarkEnd w:id="92"/>
      <w:r>
        <w:t xml:space="preserve">Surrain, Sarah, and Gigi Luk. 2019. “Describing Bilinguals: A Systematic Review of Labels and Descriptions Used in the Literature Between 2005–2015.” </w:t>
      </w:r>
      <w:r>
        <w:rPr>
          <w:i/>
          <w:iCs/>
        </w:rPr>
        <w:t>Bilingualism: Language and Cognition</w:t>
      </w:r>
      <w:r>
        <w:t xml:space="preserve"> 22 (2): 401–15. </w:t>
      </w:r>
      <w:hyperlink r:id="rId66">
        <w:r>
          <w:rPr>
            <w:rStyle w:val="Hyperlink"/>
          </w:rPr>
          <w:t>https://doi.org/10.1017/S1366728917000682</w:t>
        </w:r>
      </w:hyperlink>
      <w:r>
        <w:t>.</w:t>
      </w:r>
    </w:p>
    <w:p w14:paraId="311C4BC3" w14:textId="77777777" w:rsidR="00846DAE" w:rsidRDefault="00000000">
      <w:pPr>
        <w:pStyle w:val="Bibliography"/>
      </w:pPr>
      <w:bookmarkStart w:id="94" w:name="ref-Titone2023Rethinking"/>
      <w:bookmarkEnd w:id="93"/>
      <w:r>
        <w:lastRenderedPageBreak/>
        <w:t xml:space="preserve">Titone, Debra A., and Mehrgol Tiv. 2023. “Rethinking Multilingual Experience Through a Systems Framework of Bilingualism.” </w:t>
      </w:r>
      <w:r>
        <w:rPr>
          <w:i/>
          <w:iCs/>
        </w:rPr>
        <w:t>Bilingualism: Language and Cognition</w:t>
      </w:r>
      <w:r>
        <w:t xml:space="preserve"> 26 (1): 1–16. </w:t>
      </w:r>
      <w:hyperlink r:id="rId67">
        <w:r>
          <w:rPr>
            <w:rStyle w:val="Hyperlink"/>
          </w:rPr>
          <w:t>https://doi.org/10.1017/S1366728921001127</w:t>
        </w:r>
      </w:hyperlink>
      <w:r>
        <w:t>.</w:t>
      </w:r>
    </w:p>
    <w:p w14:paraId="259336B5" w14:textId="77777777" w:rsidR="00846DAE" w:rsidRDefault="00000000">
      <w:pPr>
        <w:pStyle w:val="Bibliography"/>
      </w:pPr>
      <w:bookmarkStart w:id="95" w:name="ref-Wagner2023Does"/>
      <w:bookmarkEnd w:id="94"/>
      <w:r>
        <w:t xml:space="preserve">Wagner, Danika, Katerina Bekas, and Ellen Bialystok. 2023. “Does Language Entropy Shape Cognitive Performance? A Tale of Two Cities.” </w:t>
      </w:r>
      <w:r>
        <w:rPr>
          <w:i/>
          <w:iCs/>
        </w:rPr>
        <w:t>Bilingualism: Language and Cognition</w:t>
      </w:r>
      <w:r>
        <w:t xml:space="preserve"> 26 (5): 998–1008. </w:t>
      </w:r>
      <w:hyperlink r:id="rId68">
        <w:r>
          <w:rPr>
            <w:rStyle w:val="Hyperlink"/>
          </w:rPr>
          <w:t>https://doi.org/10.1017/S1366728923000202</w:t>
        </w:r>
      </w:hyperlink>
      <w:r>
        <w:t>.</w:t>
      </w:r>
    </w:p>
    <w:p w14:paraId="1BA68071" w14:textId="77777777" w:rsidR="00846DAE" w:rsidRDefault="00000000">
      <w:pPr>
        <w:pStyle w:val="Bibliography"/>
      </w:pPr>
      <w:bookmarkStart w:id="96" w:name="ref-Yow2015Balanced"/>
      <w:bookmarkEnd w:id="95"/>
      <w:r>
        <w:t xml:space="preserve">Yow, W. Quin, and Xiaoqian Li. 2015. “Balanced bilingualism and early age of second language acquisition as the underlying mechanisms of a bilingual executive control advantage: why variations in bilingual experiences matter.” </w:t>
      </w:r>
      <w:r>
        <w:rPr>
          <w:i/>
          <w:iCs/>
        </w:rPr>
        <w:t>Frontiers in Psychology</w:t>
      </w:r>
      <w:r>
        <w:t xml:space="preserve"> 6 (February). </w:t>
      </w:r>
      <w:hyperlink r:id="rId69">
        <w:r>
          <w:rPr>
            <w:rStyle w:val="Hyperlink"/>
          </w:rPr>
          <w:t>https://doi.org/10.3389/fpsyg.2015.00164</w:t>
        </w:r>
      </w:hyperlink>
      <w:r>
        <w:t>.</w:t>
      </w:r>
      <w:bookmarkEnd w:id="0"/>
      <w:bookmarkEnd w:id="42"/>
      <w:bookmarkEnd w:id="46"/>
      <w:bookmarkEnd w:id="48"/>
      <w:bookmarkEnd w:id="96"/>
    </w:p>
    <w:sectPr w:rsidR="00846DAE" w:rsidSect="006F1C0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E7D1" w14:textId="77777777" w:rsidR="0025198F" w:rsidRDefault="0025198F">
      <w:pPr>
        <w:spacing w:after="0"/>
      </w:pPr>
      <w:r>
        <w:separator/>
      </w:r>
    </w:p>
  </w:endnote>
  <w:endnote w:type="continuationSeparator" w:id="0">
    <w:p w14:paraId="2F8C0DD8" w14:textId="77777777" w:rsidR="0025198F" w:rsidRDefault="002519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ource Serif 4 14pt">
    <w:panose1 w:val="02040603050405020204"/>
    <w:charset w:val="00"/>
    <w:family w:val="roman"/>
    <w:pitch w:val="variable"/>
    <w:sig w:usb0="20000287" w:usb1="02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9282C" w14:textId="77777777" w:rsidR="0025198F" w:rsidRDefault="0025198F">
      <w:pPr>
        <w:spacing w:after="0"/>
      </w:pPr>
      <w:r>
        <w:separator/>
      </w:r>
    </w:p>
  </w:footnote>
  <w:footnote w:type="continuationSeparator" w:id="0">
    <w:p w14:paraId="39AF44BC" w14:textId="77777777" w:rsidR="0025198F" w:rsidRDefault="0025198F">
      <w:pPr>
        <w:spacing w:after="0"/>
      </w:pPr>
      <w:r>
        <w:continuationSeparator/>
      </w:r>
    </w:p>
  </w:footnote>
  <w:footnote w:id="1">
    <w:p w14:paraId="411A2A0B" w14:textId="77777777" w:rsidR="00846DAE" w:rsidRDefault="00000000">
      <w:pPr>
        <w:pStyle w:val="FootnoteText"/>
      </w:pPr>
      <w:r>
        <w:rPr>
          <w:rStyle w:val="FootnoteReference"/>
        </w:rPr>
        <w:footnoteRef/>
      </w:r>
      <w:r>
        <w:t xml:space="preserve"> Details of the data cleaning process, including explanations for why certain responses were unusable, are presented in the questionnaire cleaning R code in the supplementary materials.</w:t>
      </w:r>
    </w:p>
  </w:footnote>
  <w:footnote w:id="2">
    <w:p w14:paraId="23CBC0F0" w14:textId="77777777" w:rsidR="00846DAE" w:rsidRDefault="00000000">
      <w:pPr>
        <w:pStyle w:val="FootnoteText"/>
      </w:pPr>
      <w:r>
        <w:rPr>
          <w:rStyle w:val="FootnoteReference"/>
        </w:rPr>
        <w:footnoteRef/>
      </w:r>
      <w:r>
        <w:t xml:space="preserve"> Note the use of median instead of </w:t>
      </w:r>
      <w:proofErr w:type="gramStart"/>
      <w:r>
        <w:t>mean</w:t>
      </w:r>
      <w:proofErr w:type="gramEnd"/>
      <w:r>
        <w:t xml:space="preserve"> for the </w:t>
      </w:r>
      <w:r>
        <w:rPr>
          <w:i/>
          <w:iCs/>
        </w:rPr>
        <w:t>b</w:t>
      </w:r>
      <w:r>
        <w:t xml:space="preserve"> estimate, which is a more robust measure of centrality of the posterior probability distribution compared to mean, especially for skewed distributions.</w:t>
      </w:r>
    </w:p>
  </w:footnote>
  <w:footnote w:id="3">
    <w:p w14:paraId="5AB581F7" w14:textId="77777777" w:rsidR="00846DAE" w:rsidRDefault="00000000">
      <w:pPr>
        <w:pStyle w:val="FootnoteText"/>
      </w:pPr>
      <w:r>
        <w:rPr>
          <w:rStyle w:val="FootnoteReference"/>
        </w:rPr>
        <w:footnoteRef/>
      </w:r>
      <w:r>
        <w:t xml:space="preserve"> 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Appendix/supplementary material to display the full range of VAS responses.</w:t>
      </w:r>
    </w:p>
  </w:footnote>
  <w:footnote w:id="4">
    <w:p w14:paraId="0047C537" w14:textId="77777777" w:rsidR="00846DAE" w:rsidRDefault="00000000">
      <w:pPr>
        <w:pStyle w:val="FootnoteText"/>
      </w:pPr>
      <w:r>
        <w:rPr>
          <w:rStyle w:val="FootnoteReference"/>
        </w:rPr>
        <w:footnoteRef/>
      </w:r>
      <w:r>
        <w:t xml:space="preserve"> The conditional effect of MLD-A on predicting VAS slope for Japanese is computed by summing the estimate of the main effect of MLD-A (which is for the language reference level of English) and the estimate of the interaction effect: 0.13 + -0.29 = -0.16.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6F37D"/>
    <w:multiLevelType w:val="multilevel"/>
    <w:tmpl w:val="9D08E1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AA98E7C5"/>
    <w:multiLevelType w:val="multilevel"/>
    <w:tmpl w:val="4D96E7D4"/>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CF3E06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FFFFFF7C"/>
    <w:multiLevelType w:val="singleLevel"/>
    <w:tmpl w:val="516E7BCA"/>
    <w:lvl w:ilvl="0">
      <w:start w:val="1"/>
      <w:numFmt w:val="decimal"/>
      <w:pStyle w:val="ListNumber5"/>
      <w:lvlText w:val="%1."/>
      <w:lvlJc w:val="left"/>
      <w:pPr>
        <w:tabs>
          <w:tab w:val="num" w:pos="1800"/>
        </w:tabs>
        <w:ind w:left="1800" w:hanging="360"/>
      </w:pPr>
    </w:lvl>
  </w:abstractNum>
  <w:abstractNum w:abstractNumId="4" w15:restartNumberingAfterBreak="0">
    <w:nsid w:val="FFFFFF7D"/>
    <w:multiLevelType w:val="singleLevel"/>
    <w:tmpl w:val="26921FAE"/>
    <w:lvl w:ilvl="0">
      <w:start w:val="1"/>
      <w:numFmt w:val="decimal"/>
      <w:pStyle w:val="ListNumber4"/>
      <w:lvlText w:val="%1."/>
      <w:lvlJc w:val="left"/>
      <w:pPr>
        <w:tabs>
          <w:tab w:val="num" w:pos="1440"/>
        </w:tabs>
        <w:ind w:left="1440" w:hanging="360"/>
      </w:pPr>
    </w:lvl>
  </w:abstractNum>
  <w:abstractNum w:abstractNumId="5" w15:restartNumberingAfterBreak="0">
    <w:nsid w:val="FFFFFF7E"/>
    <w:multiLevelType w:val="singleLevel"/>
    <w:tmpl w:val="296EE34E"/>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D8D897AA"/>
    <w:lvl w:ilvl="0">
      <w:start w:val="1"/>
      <w:numFmt w:val="decimal"/>
      <w:pStyle w:val="ListNumber2"/>
      <w:lvlText w:val="%1."/>
      <w:lvlJc w:val="left"/>
      <w:pPr>
        <w:tabs>
          <w:tab w:val="num" w:pos="720"/>
        </w:tabs>
        <w:ind w:left="720" w:hanging="360"/>
      </w:pPr>
    </w:lvl>
  </w:abstractNum>
  <w:abstractNum w:abstractNumId="7" w15:restartNumberingAfterBreak="0">
    <w:nsid w:val="FFFFFF80"/>
    <w:multiLevelType w:val="singleLevel"/>
    <w:tmpl w:val="E78A3A5E"/>
    <w:lvl w:ilvl="0">
      <w:start w:val="1"/>
      <w:numFmt w:val="bullet"/>
      <w:pStyle w:val="ListBullet5"/>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00120690"/>
    <w:lvl w:ilvl="0">
      <w:start w:val="1"/>
      <w:numFmt w:val="bullet"/>
      <w:pStyle w:val="ListBullet4"/>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83889C6E"/>
    <w:lvl w:ilvl="0">
      <w:start w:val="1"/>
      <w:numFmt w:val="bullet"/>
      <w:pStyle w:val="ListBullet3"/>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E89C3386"/>
    <w:lvl w:ilvl="0">
      <w:start w:val="1"/>
      <w:numFmt w:val="bullet"/>
      <w:pStyle w:val="ListBullet2"/>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17906A74"/>
    <w:lvl w:ilvl="0">
      <w:start w:val="1"/>
      <w:numFmt w:val="decimal"/>
      <w:pStyle w:val="ListNumber"/>
      <w:lvlText w:val="%1."/>
      <w:lvlJc w:val="left"/>
      <w:pPr>
        <w:tabs>
          <w:tab w:val="num" w:pos="360"/>
        </w:tabs>
        <w:ind w:left="360" w:hanging="360"/>
      </w:pPr>
    </w:lvl>
  </w:abstractNum>
  <w:abstractNum w:abstractNumId="12" w15:restartNumberingAfterBreak="0">
    <w:nsid w:val="FFFFFF89"/>
    <w:multiLevelType w:val="singleLevel"/>
    <w:tmpl w:val="64EC0ED8"/>
    <w:lvl w:ilvl="0">
      <w:start w:val="1"/>
      <w:numFmt w:val="bullet"/>
      <w:pStyle w:val="ListBullet"/>
      <w:lvlText w:val=""/>
      <w:lvlJc w:val="left"/>
      <w:pPr>
        <w:tabs>
          <w:tab w:val="num" w:pos="360"/>
        </w:tabs>
        <w:ind w:left="360" w:hanging="360"/>
      </w:pPr>
      <w:rPr>
        <w:rFonts w:ascii="Symbol" w:hAnsi="Symbol" w:hint="default"/>
      </w:rPr>
    </w:lvl>
  </w:abstractNum>
  <w:abstractNum w:abstractNumId="13" w15:restartNumberingAfterBreak="0">
    <w:nsid w:val="0000A990"/>
    <w:multiLevelType w:val="multilevel"/>
    <w:tmpl w:val="00BA20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4" w15:restartNumberingAfterBreak="0">
    <w:nsid w:val="0000A991"/>
    <w:multiLevelType w:val="multilevel"/>
    <w:tmpl w:val="17822E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05693009"/>
    <w:multiLevelType w:val="multilevel"/>
    <w:tmpl w:val="390AA53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D5944AF"/>
    <w:multiLevelType w:val="multilevel"/>
    <w:tmpl w:val="AE206DD0"/>
    <w:lvl w:ilvl="0">
      <w:start w:val="1"/>
      <w:numFmt w:val="decimal"/>
      <w:pStyle w:val="Heading1"/>
      <w:lvlText w:val="%1"/>
      <w:lvlJc w:val="left"/>
      <w:pPr>
        <w:ind w:left="792" w:hanging="432"/>
      </w:pPr>
      <w:rPr>
        <w:rFonts w:hint="default"/>
      </w:rPr>
    </w:lvl>
    <w:lvl w:ilvl="1">
      <w:start w:val="1"/>
      <w:numFmt w:val="decimal"/>
      <w:pStyle w:val="Heading2"/>
      <w:lvlText w:val="%1.%2"/>
      <w:lvlJc w:val="left"/>
      <w:pPr>
        <w:ind w:left="936" w:hanging="576"/>
      </w:pPr>
      <w:rPr>
        <w:rFonts w:hint="default"/>
        <w:b/>
        <w:i/>
      </w:rPr>
    </w:lvl>
    <w:lvl w:ilvl="2">
      <w:start w:val="1"/>
      <w:numFmt w:val="decimal"/>
      <w:pStyle w:val="Heading3"/>
      <w:lvlText w:val="%1.%2.%3"/>
      <w:lvlJc w:val="left"/>
      <w:pPr>
        <w:ind w:left="1080" w:hanging="720"/>
      </w:pPr>
      <w:rPr>
        <w:rFonts w:hint="default"/>
        <w:b w:val="0"/>
        <w:i/>
      </w:rPr>
    </w:lvl>
    <w:lvl w:ilvl="3">
      <w:start w:val="1"/>
      <w:numFmt w:val="decimal"/>
      <w:pStyle w:val="Heading4"/>
      <w:lvlText w:val="%1.%2.%3.%4"/>
      <w:lvlJc w:val="left"/>
      <w:pPr>
        <w:ind w:left="1224" w:hanging="864"/>
      </w:pPr>
      <w:rPr>
        <w:rFonts w:hint="default"/>
        <w:b w:val="0"/>
        <w:i/>
      </w:rPr>
    </w:lvl>
    <w:lvl w:ilvl="4">
      <w:start w:val="1"/>
      <w:numFmt w:val="decimal"/>
      <w:lvlRestart w:val="0"/>
      <w:pStyle w:val="Heading5"/>
      <w:lvlText w:val="%1.%2.%3.%4.%5"/>
      <w:lvlJc w:val="left"/>
      <w:pPr>
        <w:ind w:left="1368" w:hanging="1008"/>
      </w:pPr>
      <w:rPr>
        <w:rFonts w:hint="default"/>
        <w:b w:val="0"/>
        <w:i w:val="0"/>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17" w15:restartNumberingAfterBreak="0">
    <w:nsid w:val="13623BC0"/>
    <w:multiLevelType w:val="multilevel"/>
    <w:tmpl w:val="0A082E4E"/>
    <w:styleLink w:val="CurrentList8"/>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8" w15:restartNumberingAfterBreak="0">
    <w:nsid w:val="188569AE"/>
    <w:multiLevelType w:val="multilevel"/>
    <w:tmpl w:val="48486044"/>
    <w:styleLink w:val="CurrentList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9" w15:restartNumberingAfterBreak="0">
    <w:nsid w:val="27605903"/>
    <w:multiLevelType w:val="multilevel"/>
    <w:tmpl w:val="81F058D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D0B75AB"/>
    <w:multiLevelType w:val="multilevel"/>
    <w:tmpl w:val="0B4CA96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1" w15:restartNumberingAfterBreak="0">
    <w:nsid w:val="2F8CD899"/>
    <w:multiLevelType w:val="multilevel"/>
    <w:tmpl w:val="49468B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2" w15:restartNumberingAfterBreak="0">
    <w:nsid w:val="33050A4E"/>
    <w:multiLevelType w:val="multilevel"/>
    <w:tmpl w:val="C59EE9C0"/>
    <w:styleLink w:val="CurrentList7"/>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3" w15:restartNumberingAfterBreak="0">
    <w:nsid w:val="3682569F"/>
    <w:multiLevelType w:val="multilevel"/>
    <w:tmpl w:val="FD92522E"/>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4" w15:restartNumberingAfterBreak="0">
    <w:nsid w:val="3C095557"/>
    <w:multiLevelType w:val="multilevel"/>
    <w:tmpl w:val="80DA95D4"/>
    <w:styleLink w:val="CurrentList9"/>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5" w15:restartNumberingAfterBreak="0">
    <w:nsid w:val="3F1551DD"/>
    <w:multiLevelType w:val="multilevel"/>
    <w:tmpl w:val="6F9A041C"/>
    <w:styleLink w:val="CurrentList3"/>
    <w:lvl w:ilvl="0">
      <w:start w:val="1"/>
      <w:numFmt w:val="decimal"/>
      <w:suff w:val="space"/>
      <w:lvlText w:val="Chapter %1"/>
      <w:lvlJc w:val="left"/>
      <w:pPr>
        <w:ind w:left="360" w:firstLine="0"/>
      </w:pPr>
    </w:lvl>
    <w:lvl w:ilvl="1">
      <w:start w:val="1"/>
      <w:numFmt w:val="none"/>
      <w:suff w:val="nothing"/>
      <w:lvlText w:val=""/>
      <w:lvlJc w:val="left"/>
      <w:pPr>
        <w:ind w:left="360" w:firstLine="0"/>
      </w:pPr>
    </w:lvl>
    <w:lvl w:ilvl="2">
      <w:start w:val="1"/>
      <w:numFmt w:val="none"/>
      <w:suff w:val="nothing"/>
      <w:lvlText w:val=""/>
      <w:lvlJc w:val="left"/>
      <w:pPr>
        <w:ind w:left="360" w:firstLine="0"/>
      </w:pPr>
    </w:lvl>
    <w:lvl w:ilvl="3">
      <w:start w:val="1"/>
      <w:numFmt w:val="none"/>
      <w:suff w:val="nothing"/>
      <w:lvlText w:val=""/>
      <w:lvlJc w:val="left"/>
      <w:pPr>
        <w:ind w:left="360" w:firstLine="0"/>
      </w:pPr>
    </w:lvl>
    <w:lvl w:ilvl="4">
      <w:start w:val="1"/>
      <w:numFmt w:val="none"/>
      <w:suff w:val="nothing"/>
      <w:lvlText w:val=""/>
      <w:lvlJc w:val="left"/>
      <w:pPr>
        <w:ind w:left="360" w:firstLine="0"/>
      </w:pPr>
    </w:lvl>
    <w:lvl w:ilvl="5">
      <w:start w:val="1"/>
      <w:numFmt w:val="none"/>
      <w:suff w:val="nothing"/>
      <w:lvlText w:val=""/>
      <w:lvlJc w:val="left"/>
      <w:pPr>
        <w:ind w:left="360" w:firstLine="0"/>
      </w:pPr>
    </w:lvl>
    <w:lvl w:ilvl="6">
      <w:start w:val="1"/>
      <w:numFmt w:val="none"/>
      <w:suff w:val="nothing"/>
      <w:lvlText w:val=""/>
      <w:lvlJc w:val="left"/>
      <w:pPr>
        <w:ind w:left="360" w:firstLine="0"/>
      </w:pPr>
    </w:lvl>
    <w:lvl w:ilvl="7">
      <w:start w:val="1"/>
      <w:numFmt w:val="none"/>
      <w:suff w:val="nothing"/>
      <w:lvlText w:val=""/>
      <w:lvlJc w:val="left"/>
      <w:pPr>
        <w:ind w:left="360" w:firstLine="0"/>
      </w:pPr>
    </w:lvl>
    <w:lvl w:ilvl="8">
      <w:start w:val="1"/>
      <w:numFmt w:val="none"/>
      <w:suff w:val="nothing"/>
      <w:lvlText w:val=""/>
      <w:lvlJc w:val="left"/>
      <w:pPr>
        <w:ind w:left="360" w:firstLine="0"/>
      </w:pPr>
    </w:lvl>
  </w:abstractNum>
  <w:abstractNum w:abstractNumId="26" w15:restartNumberingAfterBreak="0">
    <w:nsid w:val="4B4C5453"/>
    <w:multiLevelType w:val="hybridMultilevel"/>
    <w:tmpl w:val="4D5AF07E"/>
    <w:lvl w:ilvl="0" w:tplc="AE82278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B2147A"/>
    <w:multiLevelType w:val="multilevel"/>
    <w:tmpl w:val="FC12FD76"/>
    <w:styleLink w:val="CurrentList1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8" w15:restartNumberingAfterBreak="0">
    <w:nsid w:val="53CC0265"/>
    <w:multiLevelType w:val="multilevel"/>
    <w:tmpl w:val="48486044"/>
    <w:styleLink w:val="CurrentList5"/>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29" w15:restartNumberingAfterBreak="0">
    <w:nsid w:val="5BC56B82"/>
    <w:multiLevelType w:val="multilevel"/>
    <w:tmpl w:val="0BC27806"/>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30" w15:restartNumberingAfterBreak="0">
    <w:nsid w:val="5F6D10DC"/>
    <w:multiLevelType w:val="multilevel"/>
    <w:tmpl w:val="3B0E033C"/>
    <w:styleLink w:val="CurrentList10"/>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31" w15:restartNumberingAfterBreak="0">
    <w:nsid w:val="6DAA63F4"/>
    <w:multiLevelType w:val="multilevel"/>
    <w:tmpl w:val="2ACE9C2A"/>
    <w:styleLink w:val="CurrentList13"/>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32" w15:restartNumberingAfterBreak="0">
    <w:nsid w:val="724C112B"/>
    <w:multiLevelType w:val="multilevel"/>
    <w:tmpl w:val="A9803100"/>
    <w:styleLink w:val="CurrentList1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33" w15:restartNumberingAfterBreak="0">
    <w:nsid w:val="77259E51"/>
    <w:multiLevelType w:val="multilevel"/>
    <w:tmpl w:val="537C2202"/>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4" w15:restartNumberingAfterBreak="0">
    <w:nsid w:val="7CAD5416"/>
    <w:multiLevelType w:val="multilevel"/>
    <w:tmpl w:val="D78E0BF4"/>
    <w:styleLink w:val="CurrentList6"/>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val="0"/>
        <w:i w:val="0"/>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1569001430">
    <w:abstractNumId w:val="2"/>
  </w:num>
  <w:num w:numId="2" w16cid:durableId="214893609">
    <w:abstractNumId w:val="20"/>
  </w:num>
  <w:num w:numId="3" w16cid:durableId="1151019557">
    <w:abstractNumId w:val="0"/>
  </w:num>
  <w:num w:numId="4" w16cid:durableId="8648328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912353183">
    <w:abstractNumId w:val="0"/>
  </w:num>
  <w:num w:numId="6" w16cid:durableId="3082900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16cid:durableId="1905408425">
    <w:abstractNumId w:val="0"/>
  </w:num>
  <w:num w:numId="8" w16cid:durableId="129482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74907940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16cid:durableId="458426154">
    <w:abstractNumId w:val="3"/>
  </w:num>
  <w:num w:numId="11" w16cid:durableId="340591450">
    <w:abstractNumId w:val="4"/>
  </w:num>
  <w:num w:numId="12" w16cid:durableId="41290332">
    <w:abstractNumId w:val="5"/>
  </w:num>
  <w:num w:numId="13" w16cid:durableId="2013332615">
    <w:abstractNumId w:val="6"/>
  </w:num>
  <w:num w:numId="14" w16cid:durableId="1505705158">
    <w:abstractNumId w:val="11"/>
  </w:num>
  <w:num w:numId="15" w16cid:durableId="2075933425">
    <w:abstractNumId w:val="7"/>
  </w:num>
  <w:num w:numId="16" w16cid:durableId="1878080638">
    <w:abstractNumId w:val="8"/>
  </w:num>
  <w:num w:numId="17" w16cid:durableId="2019774275">
    <w:abstractNumId w:val="9"/>
  </w:num>
  <w:num w:numId="18" w16cid:durableId="206991132">
    <w:abstractNumId w:val="10"/>
  </w:num>
  <w:num w:numId="19" w16cid:durableId="779296200">
    <w:abstractNumId w:val="12"/>
  </w:num>
  <w:num w:numId="20" w16cid:durableId="706612089">
    <w:abstractNumId w:val="26"/>
  </w:num>
  <w:num w:numId="21" w16cid:durableId="392779217">
    <w:abstractNumId w:val="19"/>
  </w:num>
  <w:num w:numId="22" w16cid:durableId="898441540">
    <w:abstractNumId w:val="29"/>
  </w:num>
  <w:num w:numId="23" w16cid:durableId="6489408">
    <w:abstractNumId w:val="15"/>
  </w:num>
  <w:num w:numId="24" w16cid:durableId="1384140625">
    <w:abstractNumId w:val="25"/>
  </w:num>
  <w:num w:numId="25" w16cid:durableId="137457992">
    <w:abstractNumId w:val="18"/>
  </w:num>
  <w:num w:numId="26" w16cid:durableId="261568976">
    <w:abstractNumId w:val="28"/>
  </w:num>
  <w:num w:numId="27" w16cid:durableId="502086668">
    <w:abstractNumId w:val="34"/>
  </w:num>
  <w:num w:numId="28" w16cid:durableId="6059998">
    <w:abstractNumId w:val="22"/>
  </w:num>
  <w:num w:numId="29" w16cid:durableId="2126728149">
    <w:abstractNumId w:val="17"/>
  </w:num>
  <w:num w:numId="30" w16cid:durableId="571474272">
    <w:abstractNumId w:val="24"/>
  </w:num>
  <w:num w:numId="31" w16cid:durableId="59120477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45460795">
    <w:abstractNumId w:val="30"/>
  </w:num>
  <w:num w:numId="33" w16cid:durableId="15449488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02532065">
    <w:abstractNumId w:val="27"/>
  </w:num>
  <w:num w:numId="35" w16cid:durableId="239798973">
    <w:abstractNumId w:val="23"/>
  </w:num>
  <w:num w:numId="36" w16cid:durableId="1445491900">
    <w:abstractNumId w:val="32"/>
  </w:num>
  <w:num w:numId="37" w16cid:durableId="1060402352">
    <w:abstractNumId w:val="11"/>
  </w:num>
  <w:num w:numId="38" w16cid:durableId="769859778">
    <w:abstractNumId w:val="11"/>
  </w:num>
  <w:num w:numId="39" w16cid:durableId="912197228">
    <w:abstractNumId w:val="11"/>
  </w:num>
  <w:num w:numId="40" w16cid:durableId="168570637">
    <w:abstractNumId w:val="11"/>
  </w:num>
  <w:num w:numId="41" w16cid:durableId="1972128305">
    <w:abstractNumId w:val="11"/>
  </w:num>
  <w:num w:numId="42" w16cid:durableId="1510220251">
    <w:abstractNumId w:val="6"/>
  </w:num>
  <w:num w:numId="43" w16cid:durableId="1336880237">
    <w:abstractNumId w:val="6"/>
  </w:num>
  <w:num w:numId="44" w16cid:durableId="2116367576">
    <w:abstractNumId w:val="6"/>
  </w:num>
  <w:num w:numId="45" w16cid:durableId="576861701">
    <w:abstractNumId w:val="6"/>
  </w:num>
  <w:num w:numId="46" w16cid:durableId="47802747">
    <w:abstractNumId w:val="6"/>
  </w:num>
  <w:num w:numId="47" w16cid:durableId="842665721">
    <w:abstractNumId w:val="5"/>
  </w:num>
  <w:num w:numId="48" w16cid:durableId="2109277655">
    <w:abstractNumId w:val="5"/>
  </w:num>
  <w:num w:numId="49" w16cid:durableId="440418737">
    <w:abstractNumId w:val="5"/>
  </w:num>
  <w:num w:numId="50" w16cid:durableId="1719819247">
    <w:abstractNumId w:val="5"/>
  </w:num>
  <w:num w:numId="51" w16cid:durableId="273250799">
    <w:abstractNumId w:val="5"/>
  </w:num>
  <w:num w:numId="52" w16cid:durableId="985282771">
    <w:abstractNumId w:val="4"/>
  </w:num>
  <w:num w:numId="53" w16cid:durableId="934746647">
    <w:abstractNumId w:val="4"/>
  </w:num>
  <w:num w:numId="54" w16cid:durableId="1762069150">
    <w:abstractNumId w:val="4"/>
  </w:num>
  <w:num w:numId="55" w16cid:durableId="1625039651">
    <w:abstractNumId w:val="4"/>
  </w:num>
  <w:num w:numId="56" w16cid:durableId="144397267">
    <w:abstractNumId w:val="4"/>
  </w:num>
  <w:num w:numId="57" w16cid:durableId="932740908">
    <w:abstractNumId w:val="3"/>
  </w:num>
  <w:num w:numId="58" w16cid:durableId="139884237">
    <w:abstractNumId w:val="3"/>
  </w:num>
  <w:num w:numId="59" w16cid:durableId="713777677">
    <w:abstractNumId w:val="3"/>
  </w:num>
  <w:num w:numId="60" w16cid:durableId="1838811276">
    <w:abstractNumId w:val="3"/>
  </w:num>
  <w:num w:numId="61" w16cid:durableId="580454717">
    <w:abstractNumId w:val="3"/>
  </w:num>
  <w:num w:numId="62" w16cid:durableId="1390570335">
    <w:abstractNumId w:val="31"/>
  </w:num>
  <w:num w:numId="63" w16cid:durableId="438524467">
    <w:abstractNumId w:val="16"/>
  </w:num>
  <w:num w:numId="64" w16cid:durableId="497966540">
    <w:abstractNumId w:val="13"/>
  </w:num>
  <w:num w:numId="65" w16cid:durableId="12677297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DAE"/>
    <w:rsid w:val="0005140F"/>
    <w:rsid w:val="001F3BE0"/>
    <w:rsid w:val="0025198F"/>
    <w:rsid w:val="00846D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4007BA1"/>
  <w15:docId w15:val="{378697B0-DE0C-1244-BEF7-9EF1BBEE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546E"/>
    <w:pPr>
      <w:spacing w:after="120"/>
      <w:contextualSpacing/>
      <w:jc w:val="both"/>
    </w:pPr>
    <w:rPr>
      <w:rFonts w:ascii="Times New Roman" w:hAnsi="Times New Roman"/>
    </w:rPr>
  </w:style>
  <w:style w:type="paragraph" w:styleId="Heading1">
    <w:name w:val="heading 1"/>
    <w:basedOn w:val="Normal"/>
    <w:next w:val="FirstParagraph"/>
    <w:uiPriority w:val="9"/>
    <w:qFormat/>
    <w:rsid w:val="00C375F2"/>
    <w:pPr>
      <w:keepNext/>
      <w:keepLines/>
      <w:pageBreakBefore/>
      <w:numPr>
        <w:numId w:val="63"/>
      </w:numPr>
      <w:spacing w:before="160" w:line="360" w:lineRule="auto"/>
      <w:jc w:val="left"/>
      <w:outlineLvl w:val="0"/>
    </w:pPr>
    <w:rPr>
      <w:rFonts w:asciiTheme="minorHAnsi" w:eastAsiaTheme="majorEastAsia" w:hAnsiTheme="minorHAnsi" w:cstheme="majorBidi"/>
      <w:b/>
      <w:bCs/>
      <w:color w:val="000000" w:themeColor="text1"/>
      <w:sz w:val="32"/>
      <w:szCs w:val="32"/>
    </w:rPr>
  </w:style>
  <w:style w:type="paragraph" w:styleId="Heading2">
    <w:name w:val="heading 2"/>
    <w:basedOn w:val="Normal"/>
    <w:next w:val="FirstParagraph"/>
    <w:uiPriority w:val="9"/>
    <w:unhideWhenUsed/>
    <w:qFormat/>
    <w:rsid w:val="00FE1AF6"/>
    <w:pPr>
      <w:keepNext/>
      <w:keepLines/>
      <w:numPr>
        <w:ilvl w:val="1"/>
        <w:numId w:val="63"/>
      </w:numPr>
      <w:spacing w:after="0" w:line="480" w:lineRule="auto"/>
      <w:jc w:val="left"/>
      <w:outlineLvl w:val="1"/>
    </w:pPr>
    <w:rPr>
      <w:rFonts w:asciiTheme="minorHAnsi" w:eastAsiaTheme="majorEastAsia" w:hAnsiTheme="minorHAnsi" w:cstheme="majorBidi"/>
      <w:b/>
      <w:bCs/>
      <w:i/>
      <w:color w:val="000000" w:themeColor="text1"/>
      <w:sz w:val="28"/>
      <w:szCs w:val="32"/>
    </w:rPr>
  </w:style>
  <w:style w:type="paragraph" w:styleId="Heading3">
    <w:name w:val="heading 3"/>
    <w:basedOn w:val="Normal"/>
    <w:next w:val="FirstParagraph"/>
    <w:uiPriority w:val="9"/>
    <w:unhideWhenUsed/>
    <w:qFormat/>
    <w:rsid w:val="00FE1AF6"/>
    <w:pPr>
      <w:keepNext/>
      <w:keepLines/>
      <w:numPr>
        <w:ilvl w:val="2"/>
        <w:numId w:val="63"/>
      </w:numPr>
      <w:spacing w:after="0" w:line="480" w:lineRule="auto"/>
      <w:jc w:val="left"/>
      <w:outlineLvl w:val="2"/>
    </w:pPr>
    <w:rPr>
      <w:rFonts w:asciiTheme="minorHAnsi" w:eastAsiaTheme="majorEastAsia" w:hAnsiTheme="minorHAnsi" w:cstheme="majorBidi"/>
      <w:bCs/>
      <w:i/>
      <w:color w:val="000000" w:themeColor="text1"/>
      <w:szCs w:val="28"/>
    </w:rPr>
  </w:style>
  <w:style w:type="paragraph" w:styleId="Heading4">
    <w:name w:val="heading 4"/>
    <w:basedOn w:val="Normal"/>
    <w:next w:val="FirstParagraph"/>
    <w:uiPriority w:val="9"/>
    <w:unhideWhenUsed/>
    <w:qFormat/>
    <w:rsid w:val="00FE1AF6"/>
    <w:pPr>
      <w:keepNext/>
      <w:keepLines/>
      <w:numPr>
        <w:ilvl w:val="3"/>
        <w:numId w:val="63"/>
      </w:numPr>
      <w:spacing w:after="0" w:line="480" w:lineRule="auto"/>
      <w:jc w:val="left"/>
      <w:outlineLvl w:val="3"/>
    </w:pPr>
    <w:rPr>
      <w:rFonts w:asciiTheme="minorHAnsi" w:eastAsiaTheme="majorEastAsia" w:hAnsiTheme="minorHAnsi" w:cstheme="majorBidi"/>
      <w:bCs/>
      <w:color w:val="000000" w:themeColor="text1"/>
    </w:rPr>
  </w:style>
  <w:style w:type="paragraph" w:styleId="Heading5">
    <w:name w:val="heading 5"/>
    <w:basedOn w:val="Normal"/>
    <w:next w:val="FirstParagraph"/>
    <w:uiPriority w:val="9"/>
    <w:unhideWhenUsed/>
    <w:qFormat/>
    <w:rsid w:val="00C375F2"/>
    <w:pPr>
      <w:keepNext/>
      <w:keepLines/>
      <w:numPr>
        <w:ilvl w:val="4"/>
        <w:numId w:val="63"/>
      </w:numPr>
      <w:spacing w:after="0" w:line="480" w:lineRule="auto"/>
      <w:jc w:val="left"/>
      <w:outlineLvl w:val="4"/>
    </w:pPr>
    <w:rPr>
      <w:rFonts w:asciiTheme="minorHAnsi" w:hAnsiTheme="minorHAnsi"/>
    </w:rPr>
  </w:style>
  <w:style w:type="paragraph" w:styleId="Heading6">
    <w:name w:val="heading 6"/>
    <w:basedOn w:val="Normal"/>
    <w:next w:val="BodyText"/>
    <w:uiPriority w:val="9"/>
    <w:unhideWhenUsed/>
    <w:qFormat/>
    <w:rsid w:val="004C24E4"/>
    <w:pPr>
      <w:keepNext/>
      <w:keepLines/>
      <w:numPr>
        <w:ilvl w:val="5"/>
        <w:numId w:val="63"/>
      </w:numPr>
      <w:spacing w:before="200"/>
      <w:jc w:val="left"/>
      <w:outlineLvl w:val="5"/>
    </w:pPr>
    <w:rPr>
      <w:rFonts w:eastAsiaTheme="majorEastAsia" w:cstheme="majorBidi"/>
    </w:rPr>
  </w:style>
  <w:style w:type="paragraph" w:styleId="Heading7">
    <w:name w:val="heading 7"/>
    <w:basedOn w:val="Normal"/>
    <w:next w:val="Normal"/>
    <w:link w:val="Heading7Char"/>
    <w:rsid w:val="000427C1"/>
    <w:pPr>
      <w:keepNext/>
      <w:keepLines/>
      <w:numPr>
        <w:ilvl w:val="6"/>
        <w:numId w:val="6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rsid w:val="000427C1"/>
    <w:pPr>
      <w:keepNext/>
      <w:keepLines/>
      <w:numPr>
        <w:ilvl w:val="7"/>
        <w:numId w:val="6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0427C1"/>
    <w:pPr>
      <w:keepNext/>
      <w:keepLines/>
      <w:numPr>
        <w:ilvl w:val="8"/>
        <w:numId w:val="6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E1AF6"/>
    <w:pPr>
      <w:spacing w:after="60" w:line="480" w:lineRule="auto"/>
      <w:ind w:firstLine="720"/>
    </w:pPr>
  </w:style>
  <w:style w:type="paragraph" w:customStyle="1" w:styleId="FirstParagraph">
    <w:name w:val="First Paragraph"/>
    <w:basedOn w:val="BodyText"/>
    <w:next w:val="BodyText"/>
    <w:qFormat/>
    <w:rsid w:val="00232730"/>
    <w:pPr>
      <w:spacing w:after="0"/>
      <w:ind w:firstLine="0"/>
    </w:pPr>
  </w:style>
  <w:style w:type="paragraph" w:customStyle="1" w:styleId="Compact">
    <w:name w:val="Compact"/>
    <w:basedOn w:val="BodyText"/>
    <w:qFormat/>
    <w:rsid w:val="002E20FA"/>
    <w:pPr>
      <w:spacing w:after="240" w:line="240" w:lineRule="auto"/>
      <w:ind w:firstLine="0"/>
    </w:pPr>
  </w:style>
  <w:style w:type="paragraph" w:styleId="Title">
    <w:name w:val="Title"/>
    <w:basedOn w:val="Normal"/>
    <w:next w:val="BodyText"/>
    <w:qFormat/>
    <w:rsid w:val="00FE1AF6"/>
    <w:pPr>
      <w:keepNext/>
      <w:keepLines/>
      <w:spacing w:before="480" w:after="240"/>
      <w:jc w:val="center"/>
    </w:pPr>
    <w:rPr>
      <w:rFonts w:asciiTheme="minorHAnsi" w:eastAsiaTheme="majorEastAsia" w:hAnsiTheme="minorHAnsi"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0427C1"/>
    <w:pPr>
      <w:keepNext/>
      <w:keepLines/>
      <w:jc w:val="center"/>
    </w:pPr>
    <w:rPr>
      <w:rFonts w:ascii="Times New Roman" w:hAnsi="Times New Roman"/>
    </w:rPr>
  </w:style>
  <w:style w:type="paragraph" w:styleId="Date">
    <w:name w:val="Date"/>
    <w:next w:val="BodyText"/>
    <w:qFormat/>
    <w:rsid w:val="000427C1"/>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E9289C"/>
    <w:pPr>
      <w:spacing w:line="480" w:lineRule="auto"/>
      <w:ind w:left="720" w:hanging="720"/>
      <w:jc w:val="left"/>
    </w:pPr>
  </w:style>
  <w:style w:type="paragraph" w:styleId="BlockText">
    <w:name w:val="Block Text"/>
    <w:basedOn w:val="BodyText"/>
    <w:next w:val="BodyText"/>
    <w:uiPriority w:val="9"/>
    <w:unhideWhenUsed/>
    <w:qFormat/>
    <w:rsid w:val="00DE1016"/>
    <w:pPr>
      <w:spacing w:after="240" w:line="360" w:lineRule="auto"/>
      <w:ind w:left="720" w:firstLine="0"/>
    </w:pPr>
    <w:rPr>
      <w:rFonts w:eastAsiaTheme="majorEastAsia" w:cstheme="majorBidi"/>
      <w:bCs/>
      <w:color w:val="262626" w:themeColor="text1" w:themeTint="D9"/>
      <w:sz w:val="22"/>
      <w:szCs w:val="20"/>
    </w:rPr>
  </w:style>
  <w:style w:type="paragraph" w:styleId="FootnoteText">
    <w:name w:val="footnote text"/>
    <w:basedOn w:val="Normal"/>
    <w:uiPriority w:val="9"/>
    <w:unhideWhenUsed/>
    <w:qFormat/>
    <w:rsid w:val="000427C1"/>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93448B"/>
    <w:pPr>
      <w:spacing w:after="240"/>
    </w:pPr>
    <w:rPr>
      <w:i/>
    </w:rPr>
  </w:style>
  <w:style w:type="paragraph" w:customStyle="1" w:styleId="TableCaption">
    <w:name w:val="Table Caption"/>
    <w:basedOn w:val="Caption"/>
    <w:rsid w:val="00C22028"/>
    <w:pPr>
      <w:keepNext/>
      <w:jc w:val="left"/>
    </w:pPr>
    <w:rPr>
      <w:sz w:val="22"/>
    </w:rPr>
  </w:style>
  <w:style w:type="paragraph" w:customStyle="1" w:styleId="ImageCaption">
    <w:name w:val="Image Caption"/>
    <w:basedOn w:val="Caption"/>
    <w:rsid w:val="00C22028"/>
    <w:pPr>
      <w:jc w:val="left"/>
    </w:pPr>
    <w:rPr>
      <w:sz w:val="22"/>
    </w:rPr>
  </w:style>
  <w:style w:type="paragraph" w:customStyle="1" w:styleId="Figure">
    <w:name w:val="Figure"/>
    <w:basedOn w:val="Normal"/>
    <w:rsid w:val="004C24E4"/>
    <w:pPr>
      <w:jc w:val="left"/>
    </w:pPr>
  </w:style>
  <w:style w:type="paragraph" w:customStyle="1" w:styleId="FigurewithCaption">
    <w:name w:val="Figure with Caption"/>
    <w:basedOn w:val="Figure"/>
    <w:rsid w:val="0005546E"/>
    <w:pPr>
      <w:keepNext/>
      <w:spacing w:before="120"/>
    </w:pPr>
  </w:style>
  <w:style w:type="character" w:customStyle="1" w:styleId="CaptionChar">
    <w:name w:val="Caption Char"/>
    <w:basedOn w:val="DefaultParagraphFont"/>
    <w:link w:val="Caption"/>
    <w:rsid w:val="0093448B"/>
    <w:rPr>
      <w:rFonts w:ascii="Times New Roman" w:hAnsi="Times New Roman"/>
      <w:i/>
    </w:rPr>
  </w:style>
  <w:style w:type="character" w:customStyle="1" w:styleId="VerbatimChar">
    <w:name w:val="Verbatim Char"/>
    <w:basedOn w:val="CaptionChar"/>
    <w:link w:val="SourceCode"/>
    <w:rsid w:val="002E20FA"/>
    <w:rPr>
      <w:rFonts w:ascii="Consolas" w:hAnsi="Consolas"/>
      <w:i w:val="0"/>
      <w:shd w:val="clear" w:color="auto" w:fill="F8F8F8"/>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rPr>
      <w:rFonts w:ascii="Times New Roman" w:hAnsi="Times New Roman"/>
      <w:i/>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2E20FA"/>
    <w:pPr>
      <w:shd w:val="clear" w:color="auto" w:fill="F8F8F8"/>
      <w:wordWrap w:val="0"/>
      <w:spacing w:after="240"/>
    </w:pPr>
    <w:rPr>
      <w:rFonts w:ascii="Consolas" w:hAnsi="Consolas"/>
    </w:rPr>
  </w:style>
  <w:style w:type="character" w:customStyle="1" w:styleId="KeywordTok">
    <w:name w:val="KeywordTok"/>
    <w:basedOn w:val="VerbatimChar"/>
    <w:rPr>
      <w:rFonts w:ascii="Consolas" w:hAnsi="Consolas"/>
      <w:b/>
      <w:i w:val="0"/>
      <w:color w:val="204A87"/>
      <w:sz w:val="22"/>
      <w:shd w:val="clear" w:color="auto" w:fill="F8F8F8"/>
    </w:rPr>
  </w:style>
  <w:style w:type="character" w:customStyle="1" w:styleId="DataTypeTok">
    <w:name w:val="DataTypeTok"/>
    <w:basedOn w:val="VerbatimChar"/>
    <w:rPr>
      <w:rFonts w:ascii="Consolas" w:hAnsi="Consolas"/>
      <w:i w:val="0"/>
      <w:color w:val="204A87"/>
      <w:sz w:val="22"/>
      <w:shd w:val="clear" w:color="auto" w:fill="F8F8F8"/>
    </w:rPr>
  </w:style>
  <w:style w:type="character" w:customStyle="1" w:styleId="DecValTok">
    <w:name w:val="DecValTok"/>
    <w:basedOn w:val="VerbatimChar"/>
    <w:rPr>
      <w:rFonts w:ascii="Consolas" w:hAnsi="Consolas"/>
      <w:i w:val="0"/>
      <w:color w:val="0000CF"/>
      <w:sz w:val="22"/>
      <w:shd w:val="clear" w:color="auto" w:fill="F8F8F8"/>
    </w:rPr>
  </w:style>
  <w:style w:type="character" w:customStyle="1" w:styleId="BaseNTok">
    <w:name w:val="BaseNTok"/>
    <w:basedOn w:val="VerbatimChar"/>
    <w:rPr>
      <w:rFonts w:ascii="Consolas" w:hAnsi="Consolas"/>
      <w:i w:val="0"/>
      <w:color w:val="0000CF"/>
      <w:sz w:val="22"/>
      <w:shd w:val="clear" w:color="auto" w:fill="F8F8F8"/>
    </w:rPr>
  </w:style>
  <w:style w:type="character" w:customStyle="1" w:styleId="FloatTok">
    <w:name w:val="FloatTok"/>
    <w:basedOn w:val="VerbatimChar"/>
    <w:rPr>
      <w:rFonts w:ascii="Consolas" w:hAnsi="Consolas"/>
      <w:i w:val="0"/>
      <w:color w:val="0000CF"/>
      <w:sz w:val="22"/>
      <w:shd w:val="clear" w:color="auto" w:fill="F8F8F8"/>
    </w:rPr>
  </w:style>
  <w:style w:type="character" w:customStyle="1" w:styleId="ConstantTok">
    <w:name w:val="ConstantTok"/>
    <w:basedOn w:val="VerbatimChar"/>
    <w:rPr>
      <w:rFonts w:ascii="Consolas" w:hAnsi="Consolas"/>
      <w:i w:val="0"/>
      <w:color w:val="000000"/>
      <w:sz w:val="22"/>
      <w:shd w:val="clear" w:color="auto" w:fill="F8F8F8"/>
    </w:rPr>
  </w:style>
  <w:style w:type="character" w:customStyle="1" w:styleId="CharTok">
    <w:name w:val="CharTok"/>
    <w:basedOn w:val="VerbatimChar"/>
    <w:rPr>
      <w:rFonts w:ascii="Consolas" w:hAnsi="Consolas"/>
      <w:i w:val="0"/>
      <w:color w:val="4E9A06"/>
      <w:sz w:val="22"/>
      <w:shd w:val="clear" w:color="auto" w:fill="F8F8F8"/>
    </w:rPr>
  </w:style>
  <w:style w:type="character" w:customStyle="1" w:styleId="SpecialCharTok">
    <w:name w:val="SpecialCharTok"/>
    <w:basedOn w:val="VerbatimChar"/>
    <w:rPr>
      <w:rFonts w:ascii="Consolas" w:hAnsi="Consolas"/>
      <w:i w:val="0"/>
      <w:color w:val="000000"/>
      <w:sz w:val="22"/>
      <w:shd w:val="clear" w:color="auto" w:fill="F8F8F8"/>
    </w:rPr>
  </w:style>
  <w:style w:type="character" w:customStyle="1" w:styleId="StringTok">
    <w:name w:val="StringTok"/>
    <w:basedOn w:val="VerbatimChar"/>
    <w:rPr>
      <w:rFonts w:ascii="Consolas" w:hAnsi="Consolas"/>
      <w:i w:val="0"/>
      <w:color w:val="4E9A06"/>
      <w:sz w:val="22"/>
      <w:shd w:val="clear" w:color="auto" w:fill="F8F8F8"/>
    </w:rPr>
  </w:style>
  <w:style w:type="character" w:customStyle="1" w:styleId="VerbatimStringTok">
    <w:name w:val="VerbatimStringTok"/>
    <w:basedOn w:val="VerbatimChar"/>
    <w:rPr>
      <w:rFonts w:ascii="Consolas" w:hAnsi="Consolas"/>
      <w:i w:val="0"/>
      <w:color w:val="4E9A06"/>
      <w:sz w:val="22"/>
      <w:shd w:val="clear" w:color="auto" w:fill="F8F8F8"/>
    </w:rPr>
  </w:style>
  <w:style w:type="character" w:customStyle="1" w:styleId="SpecialStringTok">
    <w:name w:val="SpecialStringTok"/>
    <w:basedOn w:val="VerbatimChar"/>
    <w:rPr>
      <w:rFonts w:ascii="Consolas" w:hAnsi="Consolas"/>
      <w:i w:val="0"/>
      <w:color w:val="4E9A06"/>
      <w:sz w:val="22"/>
      <w:shd w:val="clear" w:color="auto" w:fill="F8F8F8"/>
    </w:rPr>
  </w:style>
  <w:style w:type="character" w:customStyle="1" w:styleId="ImportTok">
    <w:name w:val="ImportTok"/>
    <w:basedOn w:val="VerbatimChar"/>
    <w:rPr>
      <w:rFonts w:ascii="Consolas" w:hAnsi="Consolas"/>
      <w:i w:val="0"/>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i w:val="0"/>
      <w:color w:val="8F5902"/>
      <w:sz w:val="22"/>
      <w:shd w:val="clear" w:color="auto" w:fill="F8F8F8"/>
    </w:rPr>
  </w:style>
  <w:style w:type="character" w:customStyle="1" w:styleId="FunctionTok">
    <w:name w:val="FunctionTok"/>
    <w:basedOn w:val="VerbatimChar"/>
    <w:rPr>
      <w:rFonts w:ascii="Consolas" w:hAnsi="Consolas"/>
      <w:i w:val="0"/>
      <w:color w:val="000000"/>
      <w:sz w:val="22"/>
      <w:shd w:val="clear" w:color="auto" w:fill="F8F8F8"/>
    </w:rPr>
  </w:style>
  <w:style w:type="character" w:customStyle="1" w:styleId="VariableTok">
    <w:name w:val="VariableTok"/>
    <w:basedOn w:val="VerbatimChar"/>
    <w:rPr>
      <w:rFonts w:ascii="Consolas" w:hAnsi="Consolas"/>
      <w:i w:val="0"/>
      <w:color w:val="000000"/>
      <w:sz w:val="22"/>
      <w:shd w:val="clear" w:color="auto" w:fill="F8F8F8"/>
    </w:rPr>
  </w:style>
  <w:style w:type="character" w:customStyle="1" w:styleId="ControlFlowTok">
    <w:name w:val="ControlFlowTok"/>
    <w:basedOn w:val="VerbatimChar"/>
    <w:rPr>
      <w:rFonts w:ascii="Consolas" w:hAnsi="Consolas"/>
      <w:b/>
      <w:i w:val="0"/>
      <w:color w:val="204A87"/>
      <w:sz w:val="22"/>
      <w:shd w:val="clear" w:color="auto" w:fill="F8F8F8"/>
    </w:rPr>
  </w:style>
  <w:style w:type="character" w:customStyle="1" w:styleId="OperatorTok">
    <w:name w:val="OperatorTok"/>
    <w:basedOn w:val="VerbatimChar"/>
    <w:rPr>
      <w:rFonts w:ascii="Consolas" w:hAnsi="Consolas"/>
      <w:b/>
      <w:i w:val="0"/>
      <w:color w:val="CE5C00"/>
      <w:sz w:val="22"/>
      <w:shd w:val="clear" w:color="auto" w:fill="F8F8F8"/>
    </w:rPr>
  </w:style>
  <w:style w:type="character" w:customStyle="1" w:styleId="BuiltInTok">
    <w:name w:val="BuiltInTok"/>
    <w:basedOn w:val="VerbatimChar"/>
    <w:rPr>
      <w:rFonts w:ascii="Consolas" w:hAnsi="Consolas"/>
      <w:i w:val="0"/>
      <w:sz w:val="22"/>
      <w:shd w:val="clear" w:color="auto" w:fill="F8F8F8"/>
    </w:rPr>
  </w:style>
  <w:style w:type="character" w:customStyle="1" w:styleId="ExtensionTok">
    <w:name w:val="ExtensionTok"/>
    <w:basedOn w:val="VerbatimChar"/>
    <w:rPr>
      <w:rFonts w:ascii="Consolas" w:hAnsi="Consolas"/>
      <w:i w:val="0"/>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i w:val="0"/>
      <w:color w:val="C4A000"/>
      <w:sz w:val="22"/>
      <w:shd w:val="clear" w:color="auto" w:fill="F8F8F8"/>
    </w:rPr>
  </w:style>
  <w:style w:type="character" w:customStyle="1" w:styleId="RegionMarkerTok">
    <w:name w:val="RegionMarkerTok"/>
    <w:basedOn w:val="VerbatimChar"/>
    <w:rPr>
      <w:rFonts w:ascii="Consolas" w:hAnsi="Consolas"/>
      <w:i w:val="0"/>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i w:val="0"/>
      <w:color w:val="EF2929"/>
      <w:sz w:val="22"/>
      <w:shd w:val="clear" w:color="auto" w:fill="F8F8F8"/>
    </w:rPr>
  </w:style>
  <w:style w:type="character" w:customStyle="1" w:styleId="ErrorTok">
    <w:name w:val="ErrorTok"/>
    <w:basedOn w:val="VerbatimChar"/>
    <w:rPr>
      <w:rFonts w:ascii="Consolas" w:hAnsi="Consolas"/>
      <w:b/>
      <w:i w:val="0"/>
      <w:color w:val="A40000"/>
      <w:sz w:val="22"/>
      <w:shd w:val="clear" w:color="auto" w:fill="F8F8F8"/>
    </w:rPr>
  </w:style>
  <w:style w:type="character" w:customStyle="1" w:styleId="NormalTok">
    <w:name w:val="NormalTok"/>
    <w:basedOn w:val="VerbatimChar"/>
    <w:rPr>
      <w:rFonts w:ascii="Consolas" w:hAnsi="Consolas"/>
      <w:i w:val="0"/>
      <w:sz w:val="22"/>
      <w:shd w:val="clear" w:color="auto" w:fill="F8F8F8"/>
    </w:rPr>
  </w:style>
  <w:style w:type="character" w:customStyle="1" w:styleId="BodyTextChar">
    <w:name w:val="Body Text Char"/>
    <w:basedOn w:val="DefaultParagraphFont"/>
    <w:link w:val="BodyText"/>
    <w:rsid w:val="00FE1AF6"/>
    <w:rPr>
      <w:rFonts w:ascii="Times New Roman" w:hAnsi="Times New Roman"/>
    </w:rPr>
  </w:style>
  <w:style w:type="numbering" w:customStyle="1" w:styleId="CurrentList1">
    <w:name w:val="Current List1"/>
    <w:uiPriority w:val="99"/>
    <w:rsid w:val="0076757F"/>
    <w:pPr>
      <w:numPr>
        <w:numId w:val="21"/>
      </w:numPr>
    </w:pPr>
  </w:style>
  <w:style w:type="numbering" w:customStyle="1" w:styleId="CurrentList2">
    <w:name w:val="Current List2"/>
    <w:uiPriority w:val="99"/>
    <w:rsid w:val="0076757F"/>
    <w:pPr>
      <w:numPr>
        <w:numId w:val="23"/>
      </w:numPr>
    </w:pPr>
  </w:style>
  <w:style w:type="character" w:customStyle="1" w:styleId="Heading7Char">
    <w:name w:val="Heading 7 Char"/>
    <w:basedOn w:val="DefaultParagraphFont"/>
    <w:link w:val="Heading7"/>
    <w:rsid w:val="0076757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rsid w:val="007675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6757F"/>
    <w:rPr>
      <w:rFonts w:asciiTheme="majorHAnsi" w:eastAsiaTheme="majorEastAsia" w:hAnsiTheme="majorHAnsi" w:cstheme="majorBidi"/>
      <w:i/>
      <w:iCs/>
      <w:color w:val="272727" w:themeColor="text1" w:themeTint="D8"/>
      <w:sz w:val="21"/>
      <w:szCs w:val="21"/>
    </w:rPr>
  </w:style>
  <w:style w:type="numbering" w:customStyle="1" w:styleId="CurrentList3">
    <w:name w:val="Current List3"/>
    <w:uiPriority w:val="99"/>
    <w:rsid w:val="0076757F"/>
    <w:pPr>
      <w:numPr>
        <w:numId w:val="24"/>
      </w:numPr>
    </w:pPr>
  </w:style>
  <w:style w:type="numbering" w:customStyle="1" w:styleId="CurrentList4">
    <w:name w:val="Current List4"/>
    <w:uiPriority w:val="99"/>
    <w:rsid w:val="0076757F"/>
    <w:pPr>
      <w:numPr>
        <w:numId w:val="25"/>
      </w:numPr>
    </w:pPr>
  </w:style>
  <w:style w:type="numbering" w:customStyle="1" w:styleId="CurrentList5">
    <w:name w:val="Current List5"/>
    <w:uiPriority w:val="99"/>
    <w:rsid w:val="0076757F"/>
    <w:pPr>
      <w:numPr>
        <w:numId w:val="26"/>
      </w:numPr>
    </w:pPr>
  </w:style>
  <w:style w:type="numbering" w:customStyle="1" w:styleId="CurrentList6">
    <w:name w:val="Current List6"/>
    <w:uiPriority w:val="99"/>
    <w:rsid w:val="0076757F"/>
    <w:pPr>
      <w:numPr>
        <w:numId w:val="27"/>
      </w:numPr>
    </w:pPr>
  </w:style>
  <w:style w:type="numbering" w:customStyle="1" w:styleId="CurrentList7">
    <w:name w:val="Current List7"/>
    <w:uiPriority w:val="99"/>
    <w:rsid w:val="0076757F"/>
    <w:pPr>
      <w:numPr>
        <w:numId w:val="28"/>
      </w:numPr>
    </w:pPr>
  </w:style>
  <w:style w:type="numbering" w:customStyle="1" w:styleId="CurrentList8">
    <w:name w:val="Current List8"/>
    <w:uiPriority w:val="99"/>
    <w:rsid w:val="0076757F"/>
    <w:pPr>
      <w:numPr>
        <w:numId w:val="29"/>
      </w:numPr>
    </w:pPr>
  </w:style>
  <w:style w:type="numbering" w:customStyle="1" w:styleId="CurrentList9">
    <w:name w:val="Current List9"/>
    <w:uiPriority w:val="99"/>
    <w:rsid w:val="0076757F"/>
    <w:pPr>
      <w:numPr>
        <w:numId w:val="30"/>
      </w:numPr>
    </w:pPr>
  </w:style>
  <w:style w:type="numbering" w:customStyle="1" w:styleId="CurrentList10">
    <w:name w:val="Current List10"/>
    <w:uiPriority w:val="99"/>
    <w:rsid w:val="0076757F"/>
    <w:pPr>
      <w:numPr>
        <w:numId w:val="32"/>
      </w:numPr>
    </w:pPr>
  </w:style>
  <w:style w:type="numbering" w:customStyle="1" w:styleId="CurrentList11">
    <w:name w:val="Current List11"/>
    <w:uiPriority w:val="99"/>
    <w:rsid w:val="000427C1"/>
    <w:pPr>
      <w:numPr>
        <w:numId w:val="34"/>
      </w:numPr>
    </w:pPr>
  </w:style>
  <w:style w:type="numbering" w:customStyle="1" w:styleId="CurrentList12">
    <w:name w:val="Current List12"/>
    <w:uiPriority w:val="99"/>
    <w:rsid w:val="000427C1"/>
    <w:pPr>
      <w:numPr>
        <w:numId w:val="36"/>
      </w:numPr>
    </w:pPr>
  </w:style>
  <w:style w:type="paragraph" w:styleId="TOC1">
    <w:name w:val="toc 1"/>
    <w:basedOn w:val="Normal"/>
    <w:next w:val="Normal"/>
    <w:autoRedefine/>
    <w:semiHidden/>
    <w:unhideWhenUsed/>
    <w:rsid w:val="000427C1"/>
    <w:pPr>
      <w:spacing w:after="100"/>
    </w:pPr>
  </w:style>
  <w:style w:type="paragraph" w:styleId="TOC2">
    <w:name w:val="toc 2"/>
    <w:basedOn w:val="Normal"/>
    <w:next w:val="Normal"/>
    <w:autoRedefine/>
    <w:semiHidden/>
    <w:unhideWhenUsed/>
    <w:rsid w:val="000427C1"/>
    <w:pPr>
      <w:spacing w:after="100"/>
      <w:ind w:left="240"/>
    </w:pPr>
  </w:style>
  <w:style w:type="paragraph" w:styleId="TOC3">
    <w:name w:val="toc 3"/>
    <w:basedOn w:val="Normal"/>
    <w:next w:val="Normal"/>
    <w:autoRedefine/>
    <w:semiHidden/>
    <w:unhideWhenUsed/>
    <w:rsid w:val="000427C1"/>
    <w:pPr>
      <w:spacing w:after="100"/>
      <w:ind w:left="480"/>
    </w:pPr>
  </w:style>
  <w:style w:type="paragraph" w:styleId="TOC4">
    <w:name w:val="toc 4"/>
    <w:basedOn w:val="Normal"/>
    <w:next w:val="Normal"/>
    <w:autoRedefine/>
    <w:semiHidden/>
    <w:unhideWhenUsed/>
    <w:rsid w:val="000427C1"/>
    <w:pPr>
      <w:spacing w:after="100"/>
      <w:ind w:left="720"/>
    </w:pPr>
  </w:style>
  <w:style w:type="paragraph" w:styleId="TOC5">
    <w:name w:val="toc 5"/>
    <w:basedOn w:val="Normal"/>
    <w:next w:val="Normal"/>
    <w:autoRedefine/>
    <w:semiHidden/>
    <w:unhideWhenUsed/>
    <w:rsid w:val="000427C1"/>
    <w:pPr>
      <w:spacing w:after="100"/>
      <w:ind w:left="960"/>
    </w:pPr>
  </w:style>
  <w:style w:type="paragraph" w:styleId="TOC6">
    <w:name w:val="toc 6"/>
    <w:basedOn w:val="Normal"/>
    <w:next w:val="Normal"/>
    <w:autoRedefine/>
    <w:semiHidden/>
    <w:unhideWhenUsed/>
    <w:rsid w:val="000427C1"/>
    <w:pPr>
      <w:spacing w:after="100"/>
      <w:ind w:left="1200"/>
    </w:pPr>
  </w:style>
  <w:style w:type="paragraph" w:styleId="TOC7">
    <w:name w:val="toc 7"/>
    <w:basedOn w:val="Normal"/>
    <w:next w:val="Normal"/>
    <w:autoRedefine/>
    <w:semiHidden/>
    <w:unhideWhenUsed/>
    <w:rsid w:val="000427C1"/>
    <w:pPr>
      <w:spacing w:after="100"/>
      <w:ind w:left="1440"/>
    </w:pPr>
  </w:style>
  <w:style w:type="paragraph" w:styleId="TOC8">
    <w:name w:val="toc 8"/>
    <w:basedOn w:val="Normal"/>
    <w:next w:val="Normal"/>
    <w:autoRedefine/>
    <w:semiHidden/>
    <w:unhideWhenUsed/>
    <w:rsid w:val="000427C1"/>
    <w:pPr>
      <w:spacing w:after="100"/>
      <w:ind w:left="1680"/>
    </w:pPr>
  </w:style>
  <w:style w:type="paragraph" w:styleId="TOC9">
    <w:name w:val="toc 9"/>
    <w:basedOn w:val="Normal"/>
    <w:next w:val="Normal"/>
    <w:autoRedefine/>
    <w:semiHidden/>
    <w:unhideWhenUsed/>
    <w:rsid w:val="000427C1"/>
    <w:pPr>
      <w:spacing w:after="100"/>
      <w:ind w:left="1920"/>
    </w:pPr>
  </w:style>
  <w:style w:type="paragraph" w:styleId="TOAHeading">
    <w:name w:val="toa heading"/>
    <w:basedOn w:val="Normal"/>
    <w:next w:val="Normal"/>
    <w:semiHidden/>
    <w:unhideWhenUsed/>
    <w:rsid w:val="000427C1"/>
    <w:pPr>
      <w:spacing w:before="120"/>
    </w:pPr>
    <w:rPr>
      <w:rFonts w:eastAsiaTheme="majorEastAsia" w:cstheme="majorBidi"/>
      <w:b/>
      <w:bCs/>
    </w:rPr>
  </w:style>
  <w:style w:type="paragraph" w:styleId="TableofFigures">
    <w:name w:val="table of figures"/>
    <w:basedOn w:val="Normal"/>
    <w:next w:val="Normal"/>
    <w:semiHidden/>
    <w:unhideWhenUsed/>
    <w:rsid w:val="000427C1"/>
  </w:style>
  <w:style w:type="paragraph" w:styleId="TableofAuthorities">
    <w:name w:val="table of authorities"/>
    <w:basedOn w:val="Normal"/>
    <w:next w:val="Normal"/>
    <w:semiHidden/>
    <w:unhideWhenUsed/>
    <w:rsid w:val="000427C1"/>
    <w:pPr>
      <w:ind w:left="240" w:hanging="240"/>
    </w:pPr>
  </w:style>
  <w:style w:type="paragraph" w:styleId="Signature">
    <w:name w:val="Signature"/>
    <w:basedOn w:val="Normal"/>
    <w:link w:val="SignatureChar"/>
    <w:semiHidden/>
    <w:unhideWhenUsed/>
    <w:rsid w:val="000427C1"/>
    <w:pPr>
      <w:ind w:left="4320"/>
    </w:pPr>
  </w:style>
  <w:style w:type="character" w:customStyle="1" w:styleId="SignatureChar">
    <w:name w:val="Signature Char"/>
    <w:basedOn w:val="DefaultParagraphFont"/>
    <w:link w:val="Signature"/>
    <w:semiHidden/>
    <w:rsid w:val="000427C1"/>
    <w:rPr>
      <w:rFonts w:ascii="Times New Roman" w:hAnsi="Times New Roman"/>
    </w:rPr>
  </w:style>
  <w:style w:type="paragraph" w:styleId="Quote">
    <w:name w:val="Quote"/>
    <w:basedOn w:val="Normal"/>
    <w:next w:val="Normal"/>
    <w:link w:val="QuoteChar"/>
    <w:rsid w:val="000427C1"/>
    <w:pPr>
      <w:spacing w:before="200" w:after="160"/>
      <w:ind w:left="864" w:right="864"/>
      <w:jc w:val="center"/>
    </w:pPr>
    <w:rPr>
      <w:rFonts w:ascii="Source Serif 4 14pt" w:hAnsi="Source Serif 4 14pt"/>
      <w:i/>
      <w:iCs/>
      <w:color w:val="404040" w:themeColor="text1" w:themeTint="BF"/>
    </w:rPr>
  </w:style>
  <w:style w:type="character" w:customStyle="1" w:styleId="QuoteChar">
    <w:name w:val="Quote Char"/>
    <w:basedOn w:val="DefaultParagraphFont"/>
    <w:link w:val="Quote"/>
    <w:rsid w:val="000427C1"/>
    <w:rPr>
      <w:rFonts w:ascii="Source Serif 4 14pt" w:hAnsi="Source Serif 4 14pt"/>
      <w:i/>
      <w:iCs/>
      <w:color w:val="404040" w:themeColor="text1" w:themeTint="BF"/>
    </w:rPr>
  </w:style>
  <w:style w:type="character" w:styleId="PlaceholderText">
    <w:name w:val="Placeholder Text"/>
    <w:basedOn w:val="DefaultParagraphFont"/>
    <w:semiHidden/>
    <w:rsid w:val="000427C1"/>
    <w:rPr>
      <w:rFonts w:ascii="Times New Roman" w:hAnsi="Times New Roman"/>
      <w:color w:val="666666"/>
    </w:rPr>
  </w:style>
  <w:style w:type="character" w:styleId="PageNumber">
    <w:name w:val="page number"/>
    <w:basedOn w:val="DefaultParagraphFont"/>
    <w:semiHidden/>
    <w:unhideWhenUsed/>
    <w:rsid w:val="000427C1"/>
    <w:rPr>
      <w:rFonts w:ascii="Times New Roman" w:hAnsi="Times New Roman"/>
    </w:rPr>
  </w:style>
  <w:style w:type="paragraph" w:styleId="PlainText">
    <w:name w:val="Plain Text"/>
    <w:basedOn w:val="Normal"/>
    <w:link w:val="PlainTextChar"/>
    <w:semiHidden/>
    <w:unhideWhenUsed/>
    <w:rsid w:val="00FE1AF6"/>
    <w:rPr>
      <w:rFonts w:ascii="Consolas" w:hAnsi="Consolas" w:cs="Consolas"/>
      <w:sz w:val="21"/>
      <w:szCs w:val="21"/>
    </w:rPr>
  </w:style>
  <w:style w:type="character" w:customStyle="1" w:styleId="PlainTextChar">
    <w:name w:val="Plain Text Char"/>
    <w:basedOn w:val="DefaultParagraphFont"/>
    <w:link w:val="PlainText"/>
    <w:semiHidden/>
    <w:rsid w:val="00FE1AF6"/>
    <w:rPr>
      <w:rFonts w:ascii="Consolas" w:hAnsi="Consolas" w:cs="Consolas"/>
      <w:sz w:val="21"/>
      <w:szCs w:val="21"/>
    </w:rPr>
  </w:style>
  <w:style w:type="paragraph" w:styleId="NoteHeading">
    <w:name w:val="Note Heading"/>
    <w:basedOn w:val="Normal"/>
    <w:next w:val="Normal"/>
    <w:link w:val="NoteHeadingChar"/>
    <w:rsid w:val="000427C1"/>
  </w:style>
  <w:style w:type="character" w:customStyle="1" w:styleId="NoteHeadingChar">
    <w:name w:val="Note Heading Char"/>
    <w:basedOn w:val="DefaultParagraphFont"/>
    <w:link w:val="NoteHeading"/>
    <w:rsid w:val="000427C1"/>
    <w:rPr>
      <w:rFonts w:ascii="Times New Roman" w:hAnsi="Times New Roman"/>
    </w:rPr>
  </w:style>
  <w:style w:type="paragraph" w:styleId="NormalWeb">
    <w:name w:val="Normal (Web)"/>
    <w:basedOn w:val="Normal"/>
    <w:semiHidden/>
    <w:unhideWhenUsed/>
    <w:rsid w:val="000427C1"/>
    <w:rPr>
      <w:rFonts w:cs="Times New Roman"/>
    </w:rPr>
  </w:style>
  <w:style w:type="paragraph" w:styleId="NormalIndent">
    <w:name w:val="Normal Indent"/>
    <w:basedOn w:val="Normal"/>
    <w:semiHidden/>
    <w:unhideWhenUsed/>
    <w:rsid w:val="000427C1"/>
    <w:pPr>
      <w:ind w:left="720"/>
    </w:pPr>
  </w:style>
  <w:style w:type="paragraph" w:styleId="NoSpacing">
    <w:name w:val="No Spacing"/>
    <w:rsid w:val="000427C1"/>
    <w:pPr>
      <w:spacing w:after="0"/>
      <w:jc w:val="both"/>
    </w:pPr>
    <w:rPr>
      <w:rFonts w:ascii="Times New Roman" w:hAnsi="Times New Roman"/>
    </w:rPr>
  </w:style>
  <w:style w:type="paragraph" w:styleId="Header">
    <w:name w:val="header"/>
    <w:basedOn w:val="Normal"/>
    <w:link w:val="HeaderChar"/>
    <w:semiHidden/>
    <w:unhideWhenUsed/>
    <w:rsid w:val="004C24E4"/>
    <w:pPr>
      <w:tabs>
        <w:tab w:val="center" w:pos="4680"/>
        <w:tab w:val="right" w:pos="9360"/>
      </w:tabs>
      <w:jc w:val="left"/>
    </w:pPr>
  </w:style>
  <w:style w:type="character" w:customStyle="1" w:styleId="HeaderChar">
    <w:name w:val="Header Char"/>
    <w:basedOn w:val="DefaultParagraphFont"/>
    <w:link w:val="Header"/>
    <w:semiHidden/>
    <w:rsid w:val="004C24E4"/>
    <w:rPr>
      <w:rFonts w:ascii="Times New Roman" w:hAnsi="Times New Roman"/>
    </w:rPr>
  </w:style>
  <w:style w:type="paragraph" w:styleId="Footer">
    <w:name w:val="footer"/>
    <w:basedOn w:val="Normal"/>
    <w:link w:val="FooterChar"/>
    <w:semiHidden/>
    <w:unhideWhenUsed/>
    <w:rsid w:val="000427C1"/>
    <w:pPr>
      <w:tabs>
        <w:tab w:val="center" w:pos="4680"/>
        <w:tab w:val="right" w:pos="9360"/>
      </w:tabs>
    </w:pPr>
  </w:style>
  <w:style w:type="character" w:customStyle="1" w:styleId="FooterChar">
    <w:name w:val="Footer Char"/>
    <w:basedOn w:val="DefaultParagraphFont"/>
    <w:link w:val="Footer"/>
    <w:semiHidden/>
    <w:rsid w:val="000427C1"/>
    <w:rPr>
      <w:rFonts w:ascii="Times New Roman" w:hAnsi="Times New Roman"/>
    </w:rPr>
  </w:style>
  <w:style w:type="character" w:styleId="BookTitle">
    <w:name w:val="Book Title"/>
    <w:basedOn w:val="DefaultParagraphFont"/>
    <w:rsid w:val="000427C1"/>
    <w:rPr>
      <w:rFonts w:ascii="Times New Roman" w:hAnsi="Times New Roman"/>
      <w:b/>
      <w:bCs/>
      <w:i/>
      <w:iCs/>
      <w:spacing w:val="5"/>
    </w:rPr>
  </w:style>
  <w:style w:type="paragraph" w:styleId="BodyText3">
    <w:name w:val="Body Text 3"/>
    <w:basedOn w:val="Normal"/>
    <w:link w:val="BodyText3Char"/>
    <w:rsid w:val="000427C1"/>
    <w:rPr>
      <w:sz w:val="16"/>
      <w:szCs w:val="16"/>
    </w:rPr>
  </w:style>
  <w:style w:type="character" w:customStyle="1" w:styleId="BodyText3Char">
    <w:name w:val="Body Text 3 Char"/>
    <w:basedOn w:val="DefaultParagraphFont"/>
    <w:link w:val="BodyText3"/>
    <w:rsid w:val="000427C1"/>
    <w:rPr>
      <w:rFonts w:ascii="Times New Roman" w:hAnsi="Times New Roman"/>
      <w:sz w:val="16"/>
      <w:szCs w:val="16"/>
    </w:rPr>
  </w:style>
  <w:style w:type="paragraph" w:styleId="BodyTextFirstIndent">
    <w:name w:val="Body Text First Indent"/>
    <w:basedOn w:val="BodyText"/>
    <w:link w:val="BodyTextFirstIndentChar"/>
    <w:semiHidden/>
    <w:unhideWhenUsed/>
    <w:rsid w:val="000427C1"/>
    <w:pPr>
      <w:spacing w:after="200" w:line="240" w:lineRule="auto"/>
      <w:ind w:firstLine="360"/>
    </w:pPr>
  </w:style>
  <w:style w:type="character" w:customStyle="1" w:styleId="BodyTextFirstIndentChar">
    <w:name w:val="Body Text First Indent Char"/>
    <w:basedOn w:val="BodyTextChar"/>
    <w:link w:val="BodyTextFirstIndent"/>
    <w:semiHidden/>
    <w:rsid w:val="000427C1"/>
    <w:rPr>
      <w:rFonts w:ascii="Times New Roman" w:hAnsi="Times New Roman"/>
    </w:rPr>
  </w:style>
  <w:style w:type="paragraph" w:styleId="List">
    <w:name w:val="List"/>
    <w:basedOn w:val="Normal"/>
    <w:semiHidden/>
    <w:unhideWhenUsed/>
    <w:rsid w:val="004C24E4"/>
    <w:pPr>
      <w:ind w:left="360" w:hanging="360"/>
      <w:jc w:val="left"/>
    </w:pPr>
  </w:style>
  <w:style w:type="paragraph" w:styleId="ListBullet">
    <w:name w:val="List Bullet"/>
    <w:basedOn w:val="Normal"/>
    <w:semiHidden/>
    <w:unhideWhenUsed/>
    <w:rsid w:val="004C24E4"/>
    <w:pPr>
      <w:numPr>
        <w:numId w:val="19"/>
      </w:numPr>
      <w:jc w:val="left"/>
    </w:pPr>
  </w:style>
  <w:style w:type="paragraph" w:styleId="ListBullet2">
    <w:name w:val="List Bullet 2"/>
    <w:basedOn w:val="Normal"/>
    <w:rsid w:val="004C24E4"/>
    <w:pPr>
      <w:numPr>
        <w:numId w:val="18"/>
      </w:numPr>
      <w:jc w:val="left"/>
    </w:pPr>
  </w:style>
  <w:style w:type="paragraph" w:styleId="List2">
    <w:name w:val="List 2"/>
    <w:basedOn w:val="Normal"/>
    <w:semiHidden/>
    <w:unhideWhenUsed/>
    <w:rsid w:val="004C24E4"/>
    <w:pPr>
      <w:ind w:left="720" w:hanging="360"/>
      <w:jc w:val="left"/>
    </w:pPr>
  </w:style>
  <w:style w:type="paragraph" w:styleId="List3">
    <w:name w:val="List 3"/>
    <w:basedOn w:val="Normal"/>
    <w:semiHidden/>
    <w:unhideWhenUsed/>
    <w:rsid w:val="004C24E4"/>
    <w:pPr>
      <w:ind w:left="1080" w:hanging="360"/>
      <w:jc w:val="left"/>
    </w:pPr>
  </w:style>
  <w:style w:type="paragraph" w:styleId="List4">
    <w:name w:val="List 4"/>
    <w:basedOn w:val="Normal"/>
    <w:semiHidden/>
    <w:unhideWhenUsed/>
    <w:rsid w:val="004C24E4"/>
    <w:pPr>
      <w:ind w:left="1440" w:hanging="360"/>
      <w:jc w:val="left"/>
    </w:pPr>
  </w:style>
  <w:style w:type="paragraph" w:styleId="List5">
    <w:name w:val="List 5"/>
    <w:basedOn w:val="Normal"/>
    <w:semiHidden/>
    <w:unhideWhenUsed/>
    <w:rsid w:val="004C24E4"/>
    <w:pPr>
      <w:ind w:left="1800" w:hanging="360"/>
      <w:jc w:val="left"/>
    </w:pPr>
  </w:style>
  <w:style w:type="paragraph" w:styleId="ListBullet3">
    <w:name w:val="List Bullet 3"/>
    <w:basedOn w:val="Normal"/>
    <w:semiHidden/>
    <w:unhideWhenUsed/>
    <w:rsid w:val="004C24E4"/>
    <w:pPr>
      <w:numPr>
        <w:numId w:val="17"/>
      </w:numPr>
      <w:jc w:val="left"/>
    </w:pPr>
  </w:style>
  <w:style w:type="paragraph" w:styleId="ListBullet4">
    <w:name w:val="List Bullet 4"/>
    <w:basedOn w:val="Normal"/>
    <w:semiHidden/>
    <w:unhideWhenUsed/>
    <w:rsid w:val="004C24E4"/>
    <w:pPr>
      <w:numPr>
        <w:numId w:val="16"/>
      </w:numPr>
      <w:jc w:val="left"/>
    </w:pPr>
  </w:style>
  <w:style w:type="paragraph" w:styleId="ListBullet5">
    <w:name w:val="List Bullet 5"/>
    <w:basedOn w:val="Normal"/>
    <w:rsid w:val="004C24E4"/>
    <w:pPr>
      <w:numPr>
        <w:numId w:val="15"/>
      </w:numPr>
      <w:jc w:val="left"/>
    </w:pPr>
  </w:style>
  <w:style w:type="paragraph" w:styleId="ListContinue">
    <w:name w:val="List Continue"/>
    <w:basedOn w:val="Normal"/>
    <w:semiHidden/>
    <w:unhideWhenUsed/>
    <w:rsid w:val="004C24E4"/>
    <w:pPr>
      <w:ind w:left="360"/>
      <w:jc w:val="left"/>
    </w:pPr>
  </w:style>
  <w:style w:type="paragraph" w:styleId="ListContinue2">
    <w:name w:val="List Continue 2"/>
    <w:basedOn w:val="Normal"/>
    <w:semiHidden/>
    <w:unhideWhenUsed/>
    <w:rsid w:val="004C24E4"/>
    <w:pPr>
      <w:ind w:left="720"/>
      <w:jc w:val="left"/>
    </w:pPr>
  </w:style>
  <w:style w:type="paragraph" w:styleId="ListContinue3">
    <w:name w:val="List Continue 3"/>
    <w:basedOn w:val="Normal"/>
    <w:semiHidden/>
    <w:unhideWhenUsed/>
    <w:rsid w:val="004C24E4"/>
    <w:pPr>
      <w:ind w:left="1080"/>
      <w:jc w:val="left"/>
    </w:pPr>
  </w:style>
  <w:style w:type="paragraph" w:styleId="ListContinue4">
    <w:name w:val="List Continue 4"/>
    <w:basedOn w:val="Normal"/>
    <w:semiHidden/>
    <w:unhideWhenUsed/>
    <w:rsid w:val="004C24E4"/>
    <w:pPr>
      <w:ind w:left="1440"/>
      <w:jc w:val="left"/>
    </w:pPr>
  </w:style>
  <w:style w:type="paragraph" w:styleId="ListContinue5">
    <w:name w:val="List Continue 5"/>
    <w:basedOn w:val="Normal"/>
    <w:semiHidden/>
    <w:unhideWhenUsed/>
    <w:rsid w:val="004C24E4"/>
    <w:pPr>
      <w:ind w:left="1800"/>
      <w:jc w:val="left"/>
    </w:pPr>
  </w:style>
  <w:style w:type="paragraph" w:styleId="ListNumber">
    <w:name w:val="List Number"/>
    <w:basedOn w:val="Normal"/>
    <w:semiHidden/>
    <w:unhideWhenUsed/>
    <w:rsid w:val="004C24E4"/>
    <w:pPr>
      <w:numPr>
        <w:numId w:val="41"/>
      </w:numPr>
      <w:jc w:val="left"/>
    </w:pPr>
  </w:style>
  <w:style w:type="paragraph" w:styleId="ListNumber2">
    <w:name w:val="List Number 2"/>
    <w:basedOn w:val="Normal"/>
    <w:rsid w:val="004C24E4"/>
    <w:pPr>
      <w:numPr>
        <w:numId w:val="46"/>
      </w:numPr>
      <w:jc w:val="left"/>
    </w:pPr>
  </w:style>
  <w:style w:type="paragraph" w:styleId="ListNumber3">
    <w:name w:val="List Number 3"/>
    <w:basedOn w:val="Normal"/>
    <w:semiHidden/>
    <w:unhideWhenUsed/>
    <w:rsid w:val="004C24E4"/>
    <w:pPr>
      <w:numPr>
        <w:numId w:val="51"/>
      </w:numPr>
      <w:jc w:val="left"/>
    </w:pPr>
  </w:style>
  <w:style w:type="paragraph" w:styleId="ListNumber4">
    <w:name w:val="List Number 4"/>
    <w:basedOn w:val="Normal"/>
    <w:semiHidden/>
    <w:unhideWhenUsed/>
    <w:rsid w:val="004C24E4"/>
    <w:pPr>
      <w:numPr>
        <w:numId w:val="56"/>
      </w:numPr>
      <w:jc w:val="left"/>
    </w:pPr>
  </w:style>
  <w:style w:type="paragraph" w:styleId="ListNumber5">
    <w:name w:val="List Number 5"/>
    <w:basedOn w:val="Normal"/>
    <w:semiHidden/>
    <w:unhideWhenUsed/>
    <w:rsid w:val="004C24E4"/>
    <w:pPr>
      <w:numPr>
        <w:numId w:val="61"/>
      </w:numPr>
      <w:jc w:val="left"/>
    </w:pPr>
  </w:style>
  <w:style w:type="paragraph" w:styleId="ListParagraph">
    <w:name w:val="List Paragraph"/>
    <w:basedOn w:val="Normal"/>
    <w:rsid w:val="004C24E4"/>
    <w:pPr>
      <w:ind w:left="720"/>
      <w:jc w:val="left"/>
    </w:pPr>
  </w:style>
  <w:style w:type="paragraph" w:styleId="BodyText2">
    <w:name w:val="Body Text 2"/>
    <w:basedOn w:val="Normal"/>
    <w:link w:val="BodyText2Char"/>
    <w:rsid w:val="0005546E"/>
    <w:pPr>
      <w:spacing w:line="480" w:lineRule="auto"/>
    </w:pPr>
  </w:style>
  <w:style w:type="character" w:customStyle="1" w:styleId="BodyText2Char">
    <w:name w:val="Body Text 2 Char"/>
    <w:basedOn w:val="DefaultParagraphFont"/>
    <w:link w:val="BodyText2"/>
    <w:rsid w:val="0005546E"/>
    <w:rPr>
      <w:rFonts w:ascii="Times New Roman" w:hAnsi="Times New Roman"/>
    </w:rPr>
  </w:style>
  <w:style w:type="numbering" w:customStyle="1" w:styleId="CurrentList13">
    <w:name w:val="Current List13"/>
    <w:uiPriority w:val="99"/>
    <w:rsid w:val="00C375F2"/>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bs9030033" TargetMode="External"/><Relationship Id="rId21" Type="http://schemas.openxmlformats.org/officeDocument/2006/relationships/hyperlink" Target="https://doi.org/10.3758/s13428-019-01237-x" TargetMode="External"/><Relationship Id="rId42" Type="http://schemas.openxmlformats.org/officeDocument/2006/relationships/hyperlink" Target="https://doi.org/10.1016/j.bandl.2021.105031" TargetMode="External"/><Relationship Id="rId47" Type="http://schemas.openxmlformats.org/officeDocument/2006/relationships/hyperlink" Target="https://doi.org/10.1016/j.wocn.2016.08.006" TargetMode="External"/><Relationship Id="rId63" Type="http://schemas.openxmlformats.org/officeDocument/2006/relationships/hyperlink" Target="https://doi.org/10.1002/j.1538-7305.1948.tb01338.x" TargetMode="External"/><Relationship Id="rId68" Type="http://schemas.openxmlformats.org/officeDocument/2006/relationships/hyperlink" Target="https://doi.org/10.1017/S1366728923000202" TargetMode="Externa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73/pnas.1811513116" TargetMode="External"/><Relationship Id="rId11" Type="http://schemas.openxmlformats.org/officeDocument/2006/relationships/image" Target="media/image5.png"/><Relationship Id="rId24" Type="http://schemas.openxmlformats.org/officeDocument/2006/relationships/hyperlink" Target="https://www.praat.org" TargetMode="External"/><Relationship Id="rId32" Type="http://schemas.openxmlformats.org/officeDocument/2006/relationships/hyperlink" Target="https://doi.org/10.1080/00031305.2018.1549100" TargetMode="External"/><Relationship Id="rId37" Type="http://schemas.openxmlformats.org/officeDocument/2006/relationships/hyperlink" Target="https://doi.org/10.1037/xhp0001191" TargetMode="External"/><Relationship Id="rId40" Type="http://schemas.openxmlformats.org/officeDocument/2006/relationships/hyperlink" Target="https://doi.org/10.1017/S1366728921001073" TargetMode="External"/><Relationship Id="rId45" Type="http://schemas.openxmlformats.org/officeDocument/2006/relationships/hyperlink" Target="https://doi.org/10.1038/s41598-023-27952-2" TargetMode="External"/><Relationship Id="rId53" Type="http://schemas.openxmlformats.org/officeDocument/2006/relationships/hyperlink" Target="https://doi.org/10.1016/j.bandl.2021.105026" TargetMode="External"/><Relationship Id="rId58" Type="http://schemas.openxmlformats.org/officeDocument/2006/relationships/hyperlink" Target="https://doi.org/10.1044/1092-4388(2007/067)" TargetMode="External"/><Relationship Id="rId66" Type="http://schemas.openxmlformats.org/officeDocument/2006/relationships/hyperlink" Target="https://doi.org/10.1017/S1366728917000682" TargetMode="External"/><Relationship Id="rId5" Type="http://schemas.openxmlformats.org/officeDocument/2006/relationships/footnotes" Target="footnotes.xml"/><Relationship Id="rId61" Type="http://schemas.openxmlformats.org/officeDocument/2006/relationships/hyperlink" Target="https://doi.org/10.3758/s13428-020-01514-0"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i.org/10.1121/10.0015201" TargetMode="External"/><Relationship Id="rId27" Type="http://schemas.openxmlformats.org/officeDocument/2006/relationships/hyperlink" Target="https://doi.org/10.18637/jss.v080.i01" TargetMode="External"/><Relationship Id="rId30" Type="http://schemas.openxmlformats.org/officeDocument/2006/relationships/hyperlink" Target="https://doi.org/10.1016/j.bandl.2021.104919" TargetMode="External"/><Relationship Id="rId35" Type="http://schemas.openxmlformats.org/officeDocument/2006/relationships/hyperlink" Target="https://doi.org/10.1017/S1366728919000026" TargetMode="External"/><Relationship Id="rId43" Type="http://schemas.openxmlformats.org/officeDocument/2006/relationships/hyperlink" Target="https://doi.org/10.1111/lang.12650" TargetMode="External"/><Relationship Id="rId48" Type="http://schemas.openxmlformats.org/officeDocument/2006/relationships/hyperlink" Target="https://doi.org/10.1177/00238309221108647" TargetMode="External"/><Relationship Id="rId56" Type="http://schemas.openxmlformats.org/officeDocument/2006/relationships/hyperlink" Target="https://doi.org/10.3389/fpsyg.2019.02767" TargetMode="External"/><Relationship Id="rId64" Type="http://schemas.openxmlformats.org/officeDocument/2006/relationships/hyperlink" Target="https://doi.org/10.1177/09622802241242319" TargetMode="External"/><Relationship Id="rId69" Type="http://schemas.openxmlformats.org/officeDocument/2006/relationships/hyperlink" Target="https://doi.org/10.3389/fpsyg.2015.00164" TargetMode="External"/><Relationship Id="rId8" Type="http://schemas.openxmlformats.org/officeDocument/2006/relationships/image" Target="media/image2.png"/><Relationship Id="rId51" Type="http://schemas.openxmlformats.org/officeDocument/2006/relationships/hyperlink" Target="https://www.frontiersin.org/articles/10.3389/fpsyg.2022.1033825"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7/S0142716423000127" TargetMode="External"/><Relationship Id="rId33" Type="http://schemas.openxmlformats.org/officeDocument/2006/relationships/hyperlink" Target="https://doi.org/10.1016/j.neuropsychologia.2018.04.037" TargetMode="External"/><Relationship Id="rId38" Type="http://schemas.openxmlformats.org/officeDocument/2006/relationships/hyperlink" Target="https://doi.org/10.1558/jrds.39117" TargetMode="External"/><Relationship Id="rId46" Type="http://schemas.openxmlformats.org/officeDocument/2006/relationships/hyperlink" Target="https://doi.org/10.1016/j.wocn.2020.100984" TargetMode="External"/><Relationship Id="rId59" Type="http://schemas.openxmlformats.org/officeDocument/2006/relationships/hyperlink" Target="https://doi.org/10.1017/S0142716420000533" TargetMode="External"/><Relationship Id="rId67" Type="http://schemas.openxmlformats.org/officeDocument/2006/relationships/hyperlink" Target="https://doi.org/10.1017/S1366728921001127" TargetMode="External"/><Relationship Id="rId20" Type="http://schemas.openxmlformats.org/officeDocument/2006/relationships/image" Target="media/image14.png"/><Relationship Id="rId41" Type="http://schemas.openxmlformats.org/officeDocument/2006/relationships/hyperlink" Target="https://doi.org/10.1037/xhp0000900" TargetMode="External"/><Relationship Id="rId54" Type="http://schemas.openxmlformats.org/officeDocument/2006/relationships/hyperlink" Target="https://doi.org/10.1017/S1366728914000625" TargetMode="External"/><Relationship Id="rId62" Type="http://schemas.openxmlformats.org/officeDocument/2006/relationships/hyperlink" Target="https://doi.org/10.1093/oxfordjournals.aje.a009937"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3389/fpsyg.2022.864763" TargetMode="External"/><Relationship Id="rId28" Type="http://schemas.openxmlformats.org/officeDocument/2006/relationships/hyperlink" Target="https://doi.org/10.1371/journal.pone.0265563" TargetMode="External"/><Relationship Id="rId36" Type="http://schemas.openxmlformats.org/officeDocument/2006/relationships/hyperlink" Target="https://doi.org/10.1016/j.lindif.2017.11.001" TargetMode="External"/><Relationship Id="rId49" Type="http://schemas.openxmlformats.org/officeDocument/2006/relationships/hyperlink" Target="https://doi.org/10.1177/13670069211031986" TargetMode="External"/><Relationship Id="rId57" Type="http://schemas.openxmlformats.org/officeDocument/2006/relationships/hyperlink" Target="https://doi.org/10.21105/joss.01541" TargetMode="External"/><Relationship Id="rId10" Type="http://schemas.openxmlformats.org/officeDocument/2006/relationships/image" Target="media/image4.png"/><Relationship Id="rId31" Type="http://schemas.openxmlformats.org/officeDocument/2006/relationships/hyperlink" Target="https://doi.org/10.1037/xlm0001213" TargetMode="External"/><Relationship Id="rId44" Type="http://schemas.openxmlformats.org/officeDocument/2006/relationships/hyperlink" Target="https://doi.org/10.1037/xhp0000410" TargetMode="External"/><Relationship Id="rId52" Type="http://schemas.openxmlformats.org/officeDocument/2006/relationships/hyperlink" Target="https://doi.org/10.1017/S1366728918001153" TargetMode="External"/><Relationship Id="rId60" Type="http://schemas.openxmlformats.org/officeDocument/2006/relationships/hyperlink" Target="https://osf.io/4atgv/" TargetMode="External"/><Relationship Id="rId65" Type="http://schemas.openxmlformats.org/officeDocument/2006/relationships/hyperlink" Target="https://doi.org/10.1016/j.neuroimage.2019.116306"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037/xge0001263" TargetMode="External"/><Relationship Id="rId34" Type="http://schemas.openxmlformats.org/officeDocument/2006/relationships/hyperlink" Target="https://doi.org/10.1017/S0142716420000521" TargetMode="External"/><Relationship Id="rId50" Type="http://schemas.openxmlformats.org/officeDocument/2006/relationships/hyperlink" Target="https://doi.org/10.31234/osf.io/c9u4y" TargetMode="External"/><Relationship Id="rId55" Type="http://schemas.openxmlformats.org/officeDocument/2006/relationships/hyperlink" Target="https://doi.org/10.1080/20445911.2013.7955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4229</TotalTime>
  <Pages>61</Pages>
  <Words>15910</Words>
  <Characters>93233</Characters>
  <Application>Microsoft Office Word</Application>
  <DocSecurity>0</DocSecurity>
  <Lines>1277</Lines>
  <Paragraphs>178</Paragraphs>
  <ScaleCrop>false</ScaleCrop>
  <HeadingPairs>
    <vt:vector size="2" baseType="variant">
      <vt:variant>
        <vt:lpstr>Title</vt:lpstr>
      </vt:variant>
      <vt:variant>
        <vt:i4>1</vt:i4>
      </vt:variant>
    </vt:vector>
  </HeadingPairs>
  <TitlesOfParts>
    <vt:vector size="1" baseType="lpstr">
      <vt:lpstr>This is the title</vt:lpstr>
    </vt:vector>
  </TitlesOfParts>
  <Company/>
  <LinksUpToDate>false</LinksUpToDate>
  <CharactersWithSpaces>108965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Chisom Obiamalu Obasih</cp:lastModifiedBy>
  <cp:revision>2</cp:revision>
  <dcterms:created xsi:type="dcterms:W3CDTF">2025-06-09T02:59:00Z</dcterms:created>
  <dcterms:modified xsi:type="dcterms:W3CDTF">2025-07-08T06:45:00Z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bib/references.yaml</vt:lpwstr>
  </property>
  <property fmtid="{D5CDD505-2E9C-101B-9397-08002B2CF9AE}" pid="3" name="output">
    <vt:lpwstr/>
  </property>
</Properties>
</file>