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03E8" w14:textId="4E31C730" w:rsidR="00063113" w:rsidRDefault="009B53E4">
      <w:pPr>
        <w:spacing w:before="2000"/>
      </w:pPr>
      <w:r>
        <w:t xml:space="preserve"> </w:t>
      </w:r>
    </w:p>
    <w:p w14:paraId="4674A503" w14:textId="77777777" w:rsidR="00063113" w:rsidRDefault="00000000">
      <w:pPr>
        <w:spacing w:after="100"/>
        <w:jc w:val="center"/>
      </w:pPr>
      <w:r>
        <w:rPr>
          <w:b/>
          <w:bCs/>
          <w:color w:val="1F3864"/>
          <w:sz w:val="34"/>
          <w:szCs w:val="34"/>
        </w:rPr>
        <w:t>Nigeria's Population Growth in Context:</w:t>
      </w:r>
    </w:p>
    <w:p w14:paraId="03EB33BE" w14:textId="77777777" w:rsidR="00063113" w:rsidRDefault="00000000">
      <w:pPr>
        <w:spacing w:after="400"/>
        <w:jc w:val="center"/>
      </w:pPr>
      <w:r>
        <w:rPr>
          <w:b/>
          <w:bCs/>
          <w:color w:val="1F3864"/>
          <w:sz w:val="34"/>
          <w:szCs w:val="34"/>
        </w:rPr>
        <w:t>A Comparative Analysis of 8 African Countries (1990–2023)</w:t>
      </w:r>
    </w:p>
    <w:p w14:paraId="712CB6B8" w14:textId="77777777" w:rsidR="00063113" w:rsidRDefault="00000000">
      <w:pPr>
        <w:spacing w:after="150"/>
        <w:jc w:val="center"/>
      </w:pPr>
      <w:r>
        <w:rPr>
          <w:color w:val="444444"/>
          <w:sz w:val="24"/>
          <w:szCs w:val="24"/>
        </w:rPr>
        <w:t>AnalystLab Africa Data Analytics Internship — Week 8 Capstone Project</w:t>
      </w:r>
    </w:p>
    <w:p w14:paraId="5B6AA19C" w14:textId="0B6133C5" w:rsidR="00063113" w:rsidRDefault="00000000">
      <w:pPr>
        <w:spacing w:after="150"/>
        <w:jc w:val="center"/>
      </w:pPr>
      <w:r>
        <w:rPr>
          <w:color w:val="444444"/>
          <w:sz w:val="24"/>
          <w:szCs w:val="24"/>
        </w:rPr>
        <w:t>Prepared by: Chisom</w:t>
      </w:r>
      <w:r w:rsidR="009B53E4">
        <w:rPr>
          <w:color w:val="444444"/>
          <w:sz w:val="24"/>
          <w:szCs w:val="24"/>
        </w:rPr>
        <w:t xml:space="preserve"> Nwangele</w:t>
      </w:r>
    </w:p>
    <w:p w14:paraId="24C6C5C0" w14:textId="77777777" w:rsidR="00063113" w:rsidRDefault="00000000">
      <w:pPr>
        <w:spacing w:after="150"/>
        <w:jc w:val="center"/>
      </w:pPr>
      <w:r>
        <w:rPr>
          <w:color w:val="444444"/>
          <w:sz w:val="24"/>
          <w:szCs w:val="24"/>
        </w:rPr>
        <w:t>Data Source: World Bank World Development Indicators (WDI)</w:t>
      </w:r>
    </w:p>
    <w:p w14:paraId="789D15B0" w14:textId="77777777" w:rsidR="00063113" w:rsidRDefault="00000000">
      <w:r>
        <w:br w:type="page"/>
      </w:r>
    </w:p>
    <w:p w14:paraId="3D55F0F5" w14:textId="77777777" w:rsidR="00063113" w:rsidRDefault="00000000">
      <w:pPr>
        <w:pStyle w:val="Heading1"/>
        <w:spacing w:before="300" w:after="150"/>
      </w:pPr>
      <w:r>
        <w:lastRenderedPageBreak/>
        <w:t>1. Objective / Problem Statement</w:t>
      </w:r>
    </w:p>
    <w:p w14:paraId="2509AFC3" w14:textId="77777777" w:rsidR="00063113" w:rsidRDefault="00000000">
      <w:pPr>
        <w:spacing w:after="150"/>
        <w:jc w:val="both"/>
      </w:pPr>
      <w:r>
        <w:rPr>
          <w:sz w:val="22"/>
          <w:szCs w:val="22"/>
        </w:rPr>
        <w:t>This project examines Nigeria's population growth trajectory in the context of seven other major African countries — Ethiopia, Egypt, the Democratic Republic of Congo, South Africa, Kenya, Ghana, and Cameroon — using World Bank World Development Indicators data from 1990 to 2023. The goal is to understand not just how fast Nigeria's population is growing, but what is driving that growth, how it compares to regional peers, and what implications it holds for infrastructure, healthcare, and economic planning.</w:t>
      </w:r>
    </w:p>
    <w:p w14:paraId="7FA88DA0" w14:textId="77777777" w:rsidR="00063113" w:rsidRDefault="00000000">
      <w:pPr>
        <w:pStyle w:val="Heading1"/>
        <w:spacing w:before="300" w:after="150"/>
      </w:pPr>
      <w:r>
        <w:t>2. Dataset Description</w:t>
      </w:r>
    </w:p>
    <w:p w14:paraId="004E1F67" w14:textId="77777777" w:rsidR="00063113" w:rsidRDefault="00000000">
      <w:pPr>
        <w:spacing w:after="150"/>
        <w:jc w:val="both"/>
      </w:pPr>
      <w:r>
        <w:rPr>
          <w:sz w:val="22"/>
          <w:szCs w:val="22"/>
        </w:rPr>
        <w:t>The dataset was sourced from the World Bank's World Development Indicators (WDI) bulk download (WDICSV.csv), covering over 200 countries and hundreds of indicators from 1960 to 2025. For this analysis, the dataset was filtered to 8 countries and 6 population-related indicators across the years 1990–2023:</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340"/>
      </w:tblGrid>
      <w:tr w:rsidR="00063113" w14:paraId="2F04FE95" w14:textId="77777777">
        <w:tblPrEx>
          <w:tblCellMar>
            <w:top w:w="0" w:type="dxa"/>
            <w:bottom w:w="0" w:type="dxa"/>
          </w:tblCellMar>
        </w:tblPrEx>
        <w:tc>
          <w:tcPr>
            <w:tcW w:w="5500" w:type="dxa"/>
            <w:shd w:val="clear" w:color="auto" w:fill="1F3864"/>
          </w:tcPr>
          <w:p w14:paraId="501751AA" w14:textId="77777777" w:rsidR="00063113" w:rsidRDefault="00000000">
            <w:r>
              <w:rPr>
                <w:b/>
                <w:bCs/>
                <w:color w:val="FFFFFF"/>
              </w:rPr>
              <w:t>Indicator</w:t>
            </w:r>
          </w:p>
        </w:tc>
        <w:tc>
          <w:tcPr>
            <w:tcW w:w="4340" w:type="dxa"/>
            <w:shd w:val="clear" w:color="auto" w:fill="1F3864"/>
          </w:tcPr>
          <w:p w14:paraId="29A4B6C9" w14:textId="77777777" w:rsidR="00063113" w:rsidRDefault="00000000">
            <w:r>
              <w:rPr>
                <w:b/>
                <w:bCs/>
                <w:color w:val="FFFFFF"/>
              </w:rPr>
              <w:t>Description</w:t>
            </w:r>
          </w:p>
        </w:tc>
      </w:tr>
      <w:tr w:rsidR="00063113" w14:paraId="35E10C47" w14:textId="77777777">
        <w:tblPrEx>
          <w:tblCellMar>
            <w:top w:w="0" w:type="dxa"/>
            <w:bottom w:w="0" w:type="dxa"/>
          </w:tblCellMar>
        </w:tblPrEx>
        <w:tc>
          <w:tcPr>
            <w:tcW w:w="5500" w:type="dxa"/>
            <w:shd w:val="clear" w:color="auto" w:fill="FFFFFF"/>
          </w:tcPr>
          <w:p w14:paraId="6DA7717E" w14:textId="77777777" w:rsidR="00063113" w:rsidRDefault="00000000">
            <w:r>
              <w:rPr>
                <w:color w:val="000000"/>
              </w:rPr>
              <w:t>Population, total</w:t>
            </w:r>
          </w:p>
        </w:tc>
        <w:tc>
          <w:tcPr>
            <w:tcW w:w="4340" w:type="dxa"/>
            <w:shd w:val="clear" w:color="auto" w:fill="FFFFFF"/>
          </w:tcPr>
          <w:p w14:paraId="4BB9E708" w14:textId="77777777" w:rsidR="00063113" w:rsidRDefault="00000000">
            <w:r>
              <w:rPr>
                <w:color w:val="000000"/>
              </w:rPr>
              <w:t>Total population count</w:t>
            </w:r>
          </w:p>
        </w:tc>
      </w:tr>
      <w:tr w:rsidR="00063113" w14:paraId="533A21E3" w14:textId="77777777">
        <w:tblPrEx>
          <w:tblCellMar>
            <w:top w:w="0" w:type="dxa"/>
            <w:bottom w:w="0" w:type="dxa"/>
          </w:tblCellMar>
        </w:tblPrEx>
        <w:tc>
          <w:tcPr>
            <w:tcW w:w="5500" w:type="dxa"/>
            <w:shd w:val="clear" w:color="auto" w:fill="F2F2F2"/>
          </w:tcPr>
          <w:p w14:paraId="15A0C8A0" w14:textId="77777777" w:rsidR="00063113" w:rsidRDefault="00000000">
            <w:r>
              <w:rPr>
                <w:color w:val="000000"/>
              </w:rPr>
              <w:t>Population growth (annual %)</w:t>
            </w:r>
          </w:p>
        </w:tc>
        <w:tc>
          <w:tcPr>
            <w:tcW w:w="4340" w:type="dxa"/>
            <w:shd w:val="clear" w:color="auto" w:fill="F2F2F2"/>
          </w:tcPr>
          <w:p w14:paraId="543D6AE1" w14:textId="77777777" w:rsidR="00063113" w:rsidRDefault="00000000">
            <w:r>
              <w:rPr>
                <w:color w:val="000000"/>
              </w:rPr>
              <w:t>Year-over-year population growth rate</w:t>
            </w:r>
          </w:p>
        </w:tc>
      </w:tr>
      <w:tr w:rsidR="00063113" w14:paraId="5E871438" w14:textId="77777777">
        <w:tblPrEx>
          <w:tblCellMar>
            <w:top w:w="0" w:type="dxa"/>
            <w:bottom w:w="0" w:type="dxa"/>
          </w:tblCellMar>
        </w:tblPrEx>
        <w:tc>
          <w:tcPr>
            <w:tcW w:w="5500" w:type="dxa"/>
            <w:shd w:val="clear" w:color="auto" w:fill="FFFFFF"/>
          </w:tcPr>
          <w:p w14:paraId="7832EDBC" w14:textId="77777777" w:rsidR="00063113" w:rsidRDefault="00000000">
            <w:r>
              <w:rPr>
                <w:color w:val="000000"/>
              </w:rPr>
              <w:t>Urban population (% of total population)</w:t>
            </w:r>
          </w:p>
        </w:tc>
        <w:tc>
          <w:tcPr>
            <w:tcW w:w="4340" w:type="dxa"/>
            <w:shd w:val="clear" w:color="auto" w:fill="FFFFFF"/>
          </w:tcPr>
          <w:p w14:paraId="54D73131" w14:textId="77777777" w:rsidR="00063113" w:rsidRDefault="00000000">
            <w:r>
              <w:rPr>
                <w:color w:val="000000"/>
              </w:rPr>
              <w:t>Share of population living in urban areas</w:t>
            </w:r>
          </w:p>
        </w:tc>
      </w:tr>
      <w:tr w:rsidR="00063113" w14:paraId="6CC68F46" w14:textId="77777777">
        <w:tblPrEx>
          <w:tblCellMar>
            <w:top w:w="0" w:type="dxa"/>
            <w:bottom w:w="0" w:type="dxa"/>
          </w:tblCellMar>
        </w:tblPrEx>
        <w:tc>
          <w:tcPr>
            <w:tcW w:w="5500" w:type="dxa"/>
            <w:shd w:val="clear" w:color="auto" w:fill="F2F2F2"/>
          </w:tcPr>
          <w:p w14:paraId="7F1F8600" w14:textId="77777777" w:rsidR="00063113" w:rsidRDefault="00000000">
            <w:r>
              <w:rPr>
                <w:color w:val="000000"/>
              </w:rPr>
              <w:t>Population density (people per sq. km)</w:t>
            </w:r>
          </w:p>
        </w:tc>
        <w:tc>
          <w:tcPr>
            <w:tcW w:w="4340" w:type="dxa"/>
            <w:shd w:val="clear" w:color="auto" w:fill="F2F2F2"/>
          </w:tcPr>
          <w:p w14:paraId="7764B026" w14:textId="77777777" w:rsidR="00063113" w:rsidRDefault="00000000">
            <w:r>
              <w:rPr>
                <w:color w:val="000000"/>
              </w:rPr>
              <w:t>Population per unit of land area</w:t>
            </w:r>
          </w:p>
        </w:tc>
      </w:tr>
      <w:tr w:rsidR="00063113" w14:paraId="7A08ECB5" w14:textId="77777777">
        <w:tblPrEx>
          <w:tblCellMar>
            <w:top w:w="0" w:type="dxa"/>
            <w:bottom w:w="0" w:type="dxa"/>
          </w:tblCellMar>
        </w:tblPrEx>
        <w:tc>
          <w:tcPr>
            <w:tcW w:w="5500" w:type="dxa"/>
            <w:shd w:val="clear" w:color="auto" w:fill="FFFFFF"/>
          </w:tcPr>
          <w:p w14:paraId="187358CF" w14:textId="77777777" w:rsidR="00063113" w:rsidRDefault="00000000">
            <w:r>
              <w:rPr>
                <w:color w:val="000000"/>
              </w:rPr>
              <w:t>Fertility rate, total (births per woman)</w:t>
            </w:r>
          </w:p>
        </w:tc>
        <w:tc>
          <w:tcPr>
            <w:tcW w:w="4340" w:type="dxa"/>
            <w:shd w:val="clear" w:color="auto" w:fill="FFFFFF"/>
          </w:tcPr>
          <w:p w14:paraId="1C22B1BA" w14:textId="77777777" w:rsidR="00063113" w:rsidRDefault="00000000">
            <w:r>
              <w:rPr>
                <w:color w:val="000000"/>
              </w:rPr>
              <w:t>Average number of births per woman</w:t>
            </w:r>
          </w:p>
        </w:tc>
      </w:tr>
      <w:tr w:rsidR="00063113" w14:paraId="0EAACDFA" w14:textId="77777777">
        <w:tblPrEx>
          <w:tblCellMar>
            <w:top w:w="0" w:type="dxa"/>
            <w:bottom w:w="0" w:type="dxa"/>
          </w:tblCellMar>
        </w:tblPrEx>
        <w:tc>
          <w:tcPr>
            <w:tcW w:w="5500" w:type="dxa"/>
            <w:shd w:val="clear" w:color="auto" w:fill="F2F2F2"/>
          </w:tcPr>
          <w:p w14:paraId="436DC82D" w14:textId="77777777" w:rsidR="00063113" w:rsidRDefault="00000000">
            <w:r>
              <w:rPr>
                <w:color w:val="000000"/>
              </w:rPr>
              <w:t>Age dependency ratio (% of working-age population)</w:t>
            </w:r>
          </w:p>
        </w:tc>
        <w:tc>
          <w:tcPr>
            <w:tcW w:w="4340" w:type="dxa"/>
            <w:shd w:val="clear" w:color="auto" w:fill="F2F2F2"/>
          </w:tcPr>
          <w:p w14:paraId="65A539E4" w14:textId="77777777" w:rsidR="00063113" w:rsidRDefault="00000000">
            <w:r>
              <w:rPr>
                <w:color w:val="000000"/>
              </w:rPr>
              <w:t>Ratio of dependents to working-age population</w:t>
            </w:r>
          </w:p>
        </w:tc>
      </w:tr>
    </w:tbl>
    <w:p w14:paraId="49ACA3BF" w14:textId="77777777" w:rsidR="00063113" w:rsidRDefault="00063113">
      <w:pPr>
        <w:spacing w:after="150"/>
      </w:pPr>
    </w:p>
    <w:p w14:paraId="7F12AB80" w14:textId="77777777" w:rsidR="00063113" w:rsidRDefault="00000000">
      <w:pPr>
        <w:spacing w:after="150"/>
        <w:jc w:val="both"/>
      </w:pPr>
      <w:r>
        <w:rPr>
          <w:sz w:val="22"/>
          <w:szCs w:val="22"/>
        </w:rPr>
        <w:t>Countries studied: Nigeria, Ethiopia, Egypt (Arab Rep.), DR Congo, South Africa, Kenya, Ghana, and Cameroon.</w:t>
      </w:r>
    </w:p>
    <w:p w14:paraId="0A4A5AE5" w14:textId="77777777" w:rsidR="00063113" w:rsidRDefault="00000000">
      <w:pPr>
        <w:pStyle w:val="Heading1"/>
        <w:spacing w:before="300" w:after="150"/>
      </w:pPr>
      <w:r>
        <w:t>3. Data Cleaning Process</w:t>
      </w:r>
    </w:p>
    <w:p w14:paraId="618DAD60" w14:textId="77777777" w:rsidR="00063113" w:rsidRDefault="00000000">
      <w:pPr>
        <w:spacing w:after="150"/>
        <w:jc w:val="both"/>
      </w:pPr>
      <w:r>
        <w:rPr>
          <w:sz w:val="22"/>
          <w:szCs w:val="22"/>
        </w:rPr>
        <w:t>The raw WDI dataset (396,970 rows × 70 columns) was filtered down to the 8 target countries and 6 indicators, then trimmed to the 1990–2023 year range, resulting in a working dataset of 48 rows × 38 columns (wide format). The following cleaning steps were applied: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40"/>
      </w:tblGrid>
      <w:tr w:rsidR="00063113" w14:paraId="6EA18BCB" w14:textId="77777777">
        <w:tblPrEx>
          <w:tblCellMar>
            <w:top w:w="0" w:type="dxa"/>
            <w:bottom w:w="0" w:type="dxa"/>
          </w:tblCellMar>
        </w:tblPrEx>
        <w:tc>
          <w:tcPr>
            <w:tcW w:w="2500" w:type="dxa"/>
            <w:shd w:val="clear" w:color="auto" w:fill="1F3864"/>
          </w:tcPr>
          <w:p w14:paraId="13411FD5" w14:textId="77777777" w:rsidR="00063113" w:rsidRDefault="00000000">
            <w:r>
              <w:rPr>
                <w:b/>
                <w:bCs/>
                <w:color w:val="FFFFFF"/>
              </w:rPr>
              <w:t>Issue Found</w:t>
            </w:r>
          </w:p>
        </w:tc>
        <w:tc>
          <w:tcPr>
            <w:tcW w:w="7340" w:type="dxa"/>
            <w:shd w:val="clear" w:color="auto" w:fill="1F3864"/>
          </w:tcPr>
          <w:p w14:paraId="446EEDB2" w14:textId="77777777" w:rsidR="00063113" w:rsidRDefault="00000000">
            <w:r>
              <w:rPr>
                <w:b/>
                <w:bCs/>
                <w:color w:val="FFFFFF"/>
              </w:rPr>
              <w:t>Action Taken</w:t>
            </w:r>
          </w:p>
        </w:tc>
      </w:tr>
      <w:tr w:rsidR="00063113" w14:paraId="63E19BA9" w14:textId="77777777">
        <w:tblPrEx>
          <w:tblCellMar>
            <w:top w:w="0" w:type="dxa"/>
            <w:bottom w:w="0" w:type="dxa"/>
          </w:tblCellMar>
        </w:tblPrEx>
        <w:tc>
          <w:tcPr>
            <w:tcW w:w="2500" w:type="dxa"/>
            <w:shd w:val="clear" w:color="auto" w:fill="FFFFFF"/>
          </w:tcPr>
          <w:p w14:paraId="467CEB8C" w14:textId="77777777" w:rsidR="00063113" w:rsidRDefault="00000000">
            <w:r>
              <w:rPr>
                <w:color w:val="000000"/>
              </w:rPr>
              <w:t>Missing Values</w:t>
            </w:r>
          </w:p>
        </w:tc>
        <w:tc>
          <w:tcPr>
            <w:tcW w:w="7340" w:type="dxa"/>
            <w:shd w:val="clear" w:color="auto" w:fill="FFFFFF"/>
          </w:tcPr>
          <w:p w14:paraId="41653CFD" w14:textId="77777777" w:rsidR="00063113" w:rsidRDefault="00000000">
            <w:r>
              <w:rPr>
                <w:color w:val="000000"/>
              </w:rPr>
              <w:t>Ethiopia's Population Density was missing for 1990–1992. Filled using backward fill (nearest available value from 1993), since population density changes gradually year to year.</w:t>
            </w:r>
          </w:p>
        </w:tc>
      </w:tr>
      <w:tr w:rsidR="00063113" w14:paraId="0988DA98" w14:textId="77777777">
        <w:tblPrEx>
          <w:tblCellMar>
            <w:top w:w="0" w:type="dxa"/>
            <w:bottom w:w="0" w:type="dxa"/>
          </w:tblCellMar>
        </w:tblPrEx>
        <w:tc>
          <w:tcPr>
            <w:tcW w:w="2500" w:type="dxa"/>
            <w:shd w:val="clear" w:color="auto" w:fill="F2F2F2"/>
          </w:tcPr>
          <w:p w14:paraId="611D95DB" w14:textId="77777777" w:rsidR="00063113" w:rsidRDefault="00000000">
            <w:r>
              <w:rPr>
                <w:color w:val="000000"/>
              </w:rPr>
              <w:t>Duplicates</w:t>
            </w:r>
          </w:p>
        </w:tc>
        <w:tc>
          <w:tcPr>
            <w:tcW w:w="7340" w:type="dxa"/>
            <w:shd w:val="clear" w:color="auto" w:fill="F2F2F2"/>
          </w:tcPr>
          <w:p w14:paraId="470AEF3D" w14:textId="77777777" w:rsidR="00063113" w:rsidRDefault="00000000">
            <w:r>
              <w:rPr>
                <w:color w:val="000000"/>
              </w:rPr>
              <w:t>None found — checked using Country Name + Indicator Code combinations.</w:t>
            </w:r>
          </w:p>
        </w:tc>
      </w:tr>
      <w:tr w:rsidR="00063113" w14:paraId="52496A8E" w14:textId="77777777">
        <w:tblPrEx>
          <w:tblCellMar>
            <w:top w:w="0" w:type="dxa"/>
            <w:bottom w:w="0" w:type="dxa"/>
          </w:tblCellMar>
        </w:tblPrEx>
        <w:tc>
          <w:tcPr>
            <w:tcW w:w="2500" w:type="dxa"/>
            <w:shd w:val="clear" w:color="auto" w:fill="FFFFFF"/>
          </w:tcPr>
          <w:p w14:paraId="6236AE1E" w14:textId="77777777" w:rsidR="00063113" w:rsidRDefault="00000000">
            <w:r>
              <w:rPr>
                <w:color w:val="000000"/>
              </w:rPr>
              <w:t>Invalid Entries</w:t>
            </w:r>
          </w:p>
        </w:tc>
        <w:tc>
          <w:tcPr>
            <w:tcW w:w="7340" w:type="dxa"/>
            <w:shd w:val="clear" w:color="auto" w:fill="FFFFFF"/>
          </w:tcPr>
          <w:p w14:paraId="66C297E0" w14:textId="77777777" w:rsidR="00063113" w:rsidRDefault="00000000">
            <w:r>
              <w:rPr>
                <w:color w:val="000000"/>
              </w:rPr>
              <w:t>None found — all values fell within expected numeric ranges.</w:t>
            </w:r>
          </w:p>
        </w:tc>
      </w:tr>
      <w:tr w:rsidR="00063113" w14:paraId="635F8504" w14:textId="77777777">
        <w:tblPrEx>
          <w:tblCellMar>
            <w:top w:w="0" w:type="dxa"/>
            <w:bottom w:w="0" w:type="dxa"/>
          </w:tblCellMar>
        </w:tblPrEx>
        <w:tc>
          <w:tcPr>
            <w:tcW w:w="2500" w:type="dxa"/>
            <w:shd w:val="clear" w:color="auto" w:fill="F2F2F2"/>
          </w:tcPr>
          <w:p w14:paraId="65899EED" w14:textId="77777777" w:rsidR="00063113" w:rsidRDefault="00000000">
            <w:r>
              <w:rPr>
                <w:color w:val="000000"/>
              </w:rPr>
              <w:t>Standardization</w:t>
            </w:r>
          </w:p>
        </w:tc>
        <w:tc>
          <w:tcPr>
            <w:tcW w:w="7340" w:type="dxa"/>
            <w:shd w:val="clear" w:color="auto" w:fill="F2F2F2"/>
          </w:tcPr>
          <w:p w14:paraId="6BA2E607" w14:textId="77777777" w:rsidR="00063113" w:rsidRDefault="00000000">
            <w:r>
              <w:rPr>
                <w:color w:val="000000"/>
              </w:rPr>
              <w:t>Column names and country names were confirmed consistent (World Bank's official naming, e.g. 'Egypt, Arab Rep.', 'Congo, Dem. Rep.') with no formatting issues.</w:t>
            </w:r>
          </w:p>
        </w:tc>
      </w:tr>
    </w:tbl>
    <w:p w14:paraId="627EC8A3" w14:textId="77777777" w:rsidR="00063113" w:rsidRDefault="00063113">
      <w:pPr>
        <w:spacing w:after="150"/>
      </w:pPr>
    </w:p>
    <w:p w14:paraId="34E3FB6B" w14:textId="77777777" w:rsidR="00063113" w:rsidRDefault="00000000">
      <w:pPr>
        <w:spacing w:after="150"/>
        <w:jc w:val="both"/>
      </w:pPr>
      <w:r>
        <w:rPr>
          <w:sz w:val="22"/>
          <w:szCs w:val="22"/>
        </w:rPr>
        <w:t>After cleaning, the data was reshaped from wide format (years as columns) into long format (one row per country-indicator-year), producing 1,632 rows — the structure used for all subsequent analysis and dashboarding.</w:t>
      </w:r>
    </w:p>
    <w:p w14:paraId="2931086C" w14:textId="77777777" w:rsidR="00063113" w:rsidRDefault="00000000">
      <w:pPr>
        <w:pStyle w:val="Heading1"/>
        <w:spacing w:before="300" w:after="150"/>
      </w:pPr>
      <w:r>
        <w:t>4. Analysis Methodology</w:t>
      </w:r>
    </w:p>
    <w:p w14:paraId="591CD4D3" w14:textId="77777777" w:rsidR="00063113" w:rsidRDefault="00000000">
      <w:pPr>
        <w:spacing w:after="150"/>
        <w:jc w:val="both"/>
      </w:pPr>
      <w:r>
        <w:rPr>
          <w:sz w:val="22"/>
          <w:szCs w:val="22"/>
        </w:rPr>
        <w:t>Exploratory data analysis was performed in Python (Pandas) to calculate summary statistics (mean, median, min, max, standard deviation) across all indicators, followed by country-level comparisons for each of the 6 indicators. The cleaned, reshaped dataset was then imported into Microsoft Power BI to build an interactive dashboard featuring KPI cards, comparison bar charts, a multi-country trend line, and Country/Year slicers for interactivity.</w:t>
      </w:r>
    </w:p>
    <w:p w14:paraId="421D8855" w14:textId="77777777" w:rsidR="00063113" w:rsidRDefault="00000000">
      <w:r>
        <w:br w:type="page"/>
      </w:r>
    </w:p>
    <w:p w14:paraId="0203EB04" w14:textId="77777777" w:rsidR="00063113" w:rsidRDefault="00000000">
      <w:pPr>
        <w:pStyle w:val="Heading1"/>
        <w:spacing w:before="300" w:after="150"/>
      </w:pPr>
      <w:r>
        <w:lastRenderedPageBreak/>
        <w:t>5. Key Findings</w:t>
      </w:r>
    </w:p>
    <w:p w14:paraId="6B5BAC87" w14:textId="77777777" w:rsidR="00063113" w:rsidRDefault="00000000">
      <w:pPr>
        <w:pStyle w:val="ListParagraph"/>
        <w:numPr>
          <w:ilvl w:val="0"/>
          <w:numId w:val="2"/>
        </w:numPr>
        <w:spacing w:after="90"/>
      </w:pPr>
      <w:r>
        <w:rPr>
          <w:b/>
          <w:bCs/>
          <w:sz w:val="22"/>
          <w:szCs w:val="22"/>
        </w:rPr>
        <w:t xml:space="preserve">Population Scale: </w:t>
      </w:r>
      <w:r>
        <w:rPr>
          <w:sz w:val="22"/>
          <w:szCs w:val="22"/>
        </w:rPr>
        <w:t>Nigeria's population (227.9M in 2023) is nearly double that of the next-largest country studied, Ethiopia (128.7M), and roughly 8x the smallest, Cameroon (28.4M).</w:t>
      </w:r>
    </w:p>
    <w:p w14:paraId="36F69A1A" w14:textId="77777777" w:rsidR="00063113" w:rsidRDefault="00000000">
      <w:pPr>
        <w:pStyle w:val="ListParagraph"/>
        <w:numPr>
          <w:ilvl w:val="0"/>
          <w:numId w:val="2"/>
        </w:numPr>
        <w:spacing w:after="90"/>
      </w:pPr>
      <w:r>
        <w:rPr>
          <w:b/>
          <w:bCs/>
          <w:sz w:val="22"/>
          <w:szCs w:val="22"/>
        </w:rPr>
        <w:t xml:space="preserve">Growth Rate: </w:t>
      </w:r>
      <w:r>
        <w:rPr>
          <w:sz w:val="22"/>
          <w:szCs w:val="22"/>
        </w:rPr>
        <w:t>Nigeria's average annual growth rate (1990–2023) is 2.59% — placing it mid-pack, behind DR Congo (3.21%) and Ethiopia (3.03%), but ahead of Ghana (2.39%), Egypt (2.07%), and South Africa (1.37%).</w:t>
      </w:r>
    </w:p>
    <w:p w14:paraId="2D82A6F2" w14:textId="77777777" w:rsidR="00063113" w:rsidRDefault="00000000">
      <w:pPr>
        <w:pStyle w:val="ListParagraph"/>
        <w:numPr>
          <w:ilvl w:val="0"/>
          <w:numId w:val="2"/>
        </w:numPr>
        <w:spacing w:after="90"/>
      </w:pPr>
      <w:r>
        <w:rPr>
          <w:b/>
          <w:bCs/>
          <w:sz w:val="22"/>
          <w:szCs w:val="22"/>
        </w:rPr>
        <w:t xml:space="preserve">Urbanization: </w:t>
      </w:r>
      <w:r>
        <w:rPr>
          <w:sz w:val="22"/>
          <w:szCs w:val="22"/>
        </w:rPr>
        <w:t>Nigeria's urban population share grew from 35.2% (1990) to 62.2% (2023) — a 26.99 percentage-point increase, the largest shift among all 8 countries studied.</w:t>
      </w:r>
    </w:p>
    <w:p w14:paraId="084B610B" w14:textId="77777777" w:rsidR="00063113" w:rsidRDefault="00000000">
      <w:pPr>
        <w:pStyle w:val="ListParagraph"/>
        <w:numPr>
          <w:ilvl w:val="0"/>
          <w:numId w:val="2"/>
        </w:numPr>
        <w:spacing w:after="90"/>
      </w:pPr>
      <w:r>
        <w:rPr>
          <w:b/>
          <w:bCs/>
          <w:sz w:val="22"/>
          <w:szCs w:val="22"/>
        </w:rPr>
        <w:t xml:space="preserve">Fertility: </w:t>
      </w:r>
      <w:r>
        <w:rPr>
          <w:sz w:val="22"/>
          <w:szCs w:val="22"/>
        </w:rPr>
        <w:t>Nigeria's fertility rate (4.48 births per woman in 2023) is the second-highest in the group, behind DR Congo (6.05), and well above the lowest, South Africa (2.22).</w:t>
      </w:r>
    </w:p>
    <w:p w14:paraId="4ED68F47" w14:textId="77777777" w:rsidR="00063113" w:rsidRDefault="00000000">
      <w:pPr>
        <w:pStyle w:val="ListParagraph"/>
        <w:numPr>
          <w:ilvl w:val="0"/>
          <w:numId w:val="2"/>
        </w:numPr>
        <w:spacing w:after="90"/>
      </w:pPr>
      <w:r>
        <w:rPr>
          <w:b/>
          <w:bCs/>
          <w:sz w:val="22"/>
          <w:szCs w:val="22"/>
        </w:rPr>
        <w:t xml:space="preserve">Dependency Burden: </w:t>
      </w:r>
      <w:r>
        <w:rPr>
          <w:sz w:val="22"/>
          <w:szCs w:val="22"/>
        </w:rPr>
        <w:t>Nigeria's age dependency ratio (80.2%) is nearly tied with Cameroon (80.3%) for the second-highest in the study, behind DR Congo (96.7%).</w:t>
      </w:r>
    </w:p>
    <w:p w14:paraId="18437E0C" w14:textId="77777777" w:rsidR="00063113" w:rsidRDefault="00000000">
      <w:pPr>
        <w:pStyle w:val="Heading1"/>
        <w:spacing w:before="300" w:after="150"/>
      </w:pPr>
      <w:r>
        <w:t>6. Insights</w:t>
      </w:r>
    </w:p>
    <w:p w14:paraId="7047515F" w14:textId="77777777" w:rsidR="00063113" w:rsidRDefault="00000000">
      <w:pPr>
        <w:pStyle w:val="ListParagraph"/>
        <w:numPr>
          <w:ilvl w:val="0"/>
          <w:numId w:val="2"/>
        </w:numPr>
        <w:spacing w:after="90"/>
      </w:pPr>
      <w:r>
        <w:rPr>
          <w:sz w:val="22"/>
          <w:szCs w:val="22"/>
        </w:rPr>
        <w:t>Scale, not speed, defines Nigeria's population story — its outsized influence on Africa's population comes from the size of its existing base rather than an unusually fast growth rate.</w:t>
      </w:r>
    </w:p>
    <w:p w14:paraId="7B09A07F" w14:textId="77777777" w:rsidR="00063113" w:rsidRDefault="00000000">
      <w:pPr>
        <w:pStyle w:val="ListParagraph"/>
        <w:numPr>
          <w:ilvl w:val="0"/>
          <w:numId w:val="2"/>
        </w:numPr>
        <w:spacing w:after="90"/>
      </w:pPr>
      <w:r>
        <w:rPr>
          <w:sz w:val="22"/>
          <w:szCs w:val="22"/>
        </w:rPr>
        <w:t>Nigeria is urbanizing faster than any peer in this study, signaling major rural-to-urban migration with direct implications for housing, infrastructure, and health service access in fast-growing cities.</w:t>
      </w:r>
    </w:p>
    <w:p w14:paraId="3B5F130F" w14:textId="77777777" w:rsidR="00063113" w:rsidRDefault="00000000">
      <w:pPr>
        <w:pStyle w:val="ListParagraph"/>
        <w:numPr>
          <w:ilvl w:val="0"/>
          <w:numId w:val="2"/>
        </w:numPr>
        <w:spacing w:after="90"/>
      </w:pPr>
      <w:r>
        <w:rPr>
          <w:sz w:val="22"/>
          <w:szCs w:val="22"/>
        </w:rPr>
        <w:t>High fertility continues to drive future growth — Nigeria's population will likely keep expanding significantly for decades even as its growth rate moderates.</w:t>
      </w:r>
    </w:p>
    <w:p w14:paraId="496B0815" w14:textId="77777777" w:rsidR="00063113" w:rsidRDefault="00000000">
      <w:pPr>
        <w:pStyle w:val="ListParagraph"/>
        <w:numPr>
          <w:ilvl w:val="0"/>
          <w:numId w:val="2"/>
        </w:numPr>
        <w:spacing w:after="90"/>
      </w:pPr>
      <w:r>
        <w:rPr>
          <w:sz w:val="22"/>
          <w:szCs w:val="22"/>
        </w:rPr>
        <w:t>Nigeria carries one of the heaviest dependency burdens in the region, placing significant economic pressure on its working-age population.</w:t>
      </w:r>
    </w:p>
    <w:p w14:paraId="2A21DB1B" w14:textId="77777777" w:rsidR="00063113" w:rsidRDefault="00000000">
      <w:pPr>
        <w:pStyle w:val="ListParagraph"/>
        <w:numPr>
          <w:ilvl w:val="0"/>
          <w:numId w:val="2"/>
        </w:numPr>
        <w:spacing w:after="90"/>
      </w:pPr>
      <w:r>
        <w:rPr>
          <w:sz w:val="22"/>
          <w:szCs w:val="22"/>
        </w:rPr>
        <w:t>Growth patterns cluster into two groups: high-fertility/high-growth countries (Nigeria, Ethiopia, Cameroon, DR Congo) versus more demographically stabilized countries (South Africa, Egypt) — a divide with implications for how governments should plan around education, healthcare, and job creation.</w:t>
      </w:r>
    </w:p>
    <w:p w14:paraId="6FDF6D9A" w14:textId="77777777" w:rsidR="00063113" w:rsidRDefault="00000000">
      <w:pPr>
        <w:pStyle w:val="Heading1"/>
        <w:spacing w:before="300" w:after="150"/>
      </w:pPr>
      <w:r>
        <w:t>7. Recommendations</w:t>
      </w:r>
    </w:p>
    <w:p w14:paraId="697CA222" w14:textId="77777777" w:rsidR="00063113" w:rsidRDefault="00000000">
      <w:pPr>
        <w:pStyle w:val="ListParagraph"/>
        <w:numPr>
          <w:ilvl w:val="0"/>
          <w:numId w:val="2"/>
        </w:numPr>
        <w:spacing w:after="90"/>
      </w:pPr>
      <w:r>
        <w:rPr>
          <w:sz w:val="22"/>
          <w:szCs w:val="22"/>
        </w:rPr>
        <w:t>Prioritize urban infrastructure investment to keep pace with Nigeria's rapid rural-to-urban migration (housing, transportation, water, healthcare access).</w:t>
      </w:r>
    </w:p>
    <w:p w14:paraId="6D64CF7C" w14:textId="77777777" w:rsidR="00063113" w:rsidRDefault="00000000">
      <w:pPr>
        <w:pStyle w:val="ListParagraph"/>
        <w:numPr>
          <w:ilvl w:val="0"/>
          <w:numId w:val="2"/>
        </w:numPr>
        <w:spacing w:after="90"/>
      </w:pPr>
      <w:r>
        <w:rPr>
          <w:sz w:val="22"/>
          <w:szCs w:val="22"/>
        </w:rPr>
        <w:t>Expand voluntary family planning and reproductive health access to help moderate long-term population pressure while improving maternal and child health outcomes.</w:t>
      </w:r>
    </w:p>
    <w:p w14:paraId="4F78BFC8" w14:textId="77777777" w:rsidR="00063113" w:rsidRDefault="00000000">
      <w:pPr>
        <w:pStyle w:val="ListParagraph"/>
        <w:numPr>
          <w:ilvl w:val="0"/>
          <w:numId w:val="2"/>
        </w:numPr>
        <w:spacing w:after="90"/>
      </w:pPr>
      <w:r>
        <w:rPr>
          <w:sz w:val="22"/>
          <w:szCs w:val="22"/>
        </w:rPr>
        <w:t>Invest in youth education and job creation to convert Nigeria's large youth population into a productive workforce rather than an economic burden.</w:t>
      </w:r>
    </w:p>
    <w:p w14:paraId="66623FAF" w14:textId="77777777" w:rsidR="00063113" w:rsidRDefault="00000000">
      <w:pPr>
        <w:pStyle w:val="ListParagraph"/>
        <w:numPr>
          <w:ilvl w:val="0"/>
          <w:numId w:val="2"/>
        </w:numPr>
        <w:spacing w:after="90"/>
      </w:pPr>
      <w:r>
        <w:rPr>
          <w:sz w:val="22"/>
          <w:szCs w:val="22"/>
        </w:rPr>
        <w:t>Strengthen rural healthcare and services so that migration to cities remains a choice rather than a necessity driven by lack of services.</w:t>
      </w:r>
    </w:p>
    <w:p w14:paraId="62320938" w14:textId="77777777" w:rsidR="00063113" w:rsidRDefault="00000000">
      <w:pPr>
        <w:pStyle w:val="ListParagraph"/>
        <w:numPr>
          <w:ilvl w:val="0"/>
          <w:numId w:val="2"/>
        </w:numPr>
        <w:spacing w:after="90"/>
      </w:pPr>
      <w:r>
        <w:rPr>
          <w:sz w:val="22"/>
          <w:szCs w:val="22"/>
        </w:rPr>
        <w:t>Study policy lessons from lower-growth peers such as South Africa and Egypt, which have achieved more stabilized demographic profiles.</w:t>
      </w:r>
    </w:p>
    <w:p w14:paraId="349891B8" w14:textId="77777777" w:rsidR="00063113" w:rsidRDefault="00000000">
      <w:pPr>
        <w:pStyle w:val="Heading1"/>
        <w:spacing w:before="300" w:after="150"/>
      </w:pPr>
      <w:r>
        <w:t>8. Conclusion</w:t>
      </w:r>
    </w:p>
    <w:p w14:paraId="5C1B1AA8" w14:textId="77777777" w:rsidR="00063113" w:rsidRDefault="00000000">
      <w:pPr>
        <w:spacing w:after="150"/>
        <w:jc w:val="both"/>
      </w:pPr>
      <w:r>
        <w:rPr>
          <w:sz w:val="22"/>
          <w:szCs w:val="22"/>
        </w:rPr>
        <w:t xml:space="preserve">Nigeria's population growth story is fundamentally one of scale rather than speed. While its growth rate is not the fastest among African peers, its already-massive population base means moderate growth translates into the largest absolute increase in people of any country studied. Combined with the fastest urbanization shift in the region and a persistently high dependency ratio, Nigeria faces a distinct set of demographic pressures — and opportunities — that will shape its infrastructure, healthcare, and economic policy priorities for decades to come. This analysis, and </w:t>
      </w:r>
      <w:r>
        <w:rPr>
          <w:sz w:val="22"/>
          <w:szCs w:val="22"/>
        </w:rPr>
        <w:lastRenderedPageBreak/>
        <w:t>the accompanying interactive Power BI dashboard, provide a data-driven foundation for understanding and planning around these dynamics.</w:t>
      </w:r>
    </w:p>
    <w:sectPr w:rsidR="000631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186"/>
    <w:multiLevelType w:val="hybridMultilevel"/>
    <w:tmpl w:val="86B8D900"/>
    <w:lvl w:ilvl="0" w:tplc="779ABB1E">
      <w:start w:val="1"/>
      <w:numFmt w:val="bullet"/>
      <w:lvlText w:val="•"/>
      <w:lvlJc w:val="left"/>
      <w:pPr>
        <w:ind w:left="360" w:hanging="260"/>
      </w:pPr>
    </w:lvl>
    <w:lvl w:ilvl="1" w:tplc="E8F81742">
      <w:numFmt w:val="decimal"/>
      <w:lvlText w:val=""/>
      <w:lvlJc w:val="left"/>
    </w:lvl>
    <w:lvl w:ilvl="2" w:tplc="A7260502">
      <w:numFmt w:val="decimal"/>
      <w:lvlText w:val=""/>
      <w:lvlJc w:val="left"/>
    </w:lvl>
    <w:lvl w:ilvl="3" w:tplc="71E83938">
      <w:numFmt w:val="decimal"/>
      <w:lvlText w:val=""/>
      <w:lvlJc w:val="left"/>
    </w:lvl>
    <w:lvl w:ilvl="4" w:tplc="6EE23048">
      <w:numFmt w:val="decimal"/>
      <w:lvlText w:val=""/>
      <w:lvlJc w:val="left"/>
    </w:lvl>
    <w:lvl w:ilvl="5" w:tplc="A7F4D9F8">
      <w:numFmt w:val="decimal"/>
      <w:lvlText w:val=""/>
      <w:lvlJc w:val="left"/>
    </w:lvl>
    <w:lvl w:ilvl="6" w:tplc="BD2CDAD8">
      <w:numFmt w:val="decimal"/>
      <w:lvlText w:val=""/>
      <w:lvlJc w:val="left"/>
    </w:lvl>
    <w:lvl w:ilvl="7" w:tplc="29EE1D48">
      <w:numFmt w:val="decimal"/>
      <w:lvlText w:val=""/>
      <w:lvlJc w:val="left"/>
    </w:lvl>
    <w:lvl w:ilvl="8" w:tplc="DA50F052">
      <w:numFmt w:val="decimal"/>
      <w:lvlText w:val=""/>
      <w:lvlJc w:val="left"/>
    </w:lvl>
  </w:abstractNum>
  <w:abstractNum w:abstractNumId="1" w15:restartNumberingAfterBreak="0">
    <w:nsid w:val="1BB07551"/>
    <w:multiLevelType w:val="hybridMultilevel"/>
    <w:tmpl w:val="542481B2"/>
    <w:lvl w:ilvl="0" w:tplc="31A023A0">
      <w:start w:val="1"/>
      <w:numFmt w:val="bullet"/>
      <w:lvlText w:val="●"/>
      <w:lvlJc w:val="left"/>
      <w:pPr>
        <w:ind w:left="720" w:hanging="360"/>
      </w:pPr>
    </w:lvl>
    <w:lvl w:ilvl="1" w:tplc="3182B218">
      <w:start w:val="1"/>
      <w:numFmt w:val="bullet"/>
      <w:lvlText w:val="○"/>
      <w:lvlJc w:val="left"/>
      <w:pPr>
        <w:ind w:left="1440" w:hanging="360"/>
      </w:pPr>
    </w:lvl>
    <w:lvl w:ilvl="2" w:tplc="DD4C61DE">
      <w:start w:val="1"/>
      <w:numFmt w:val="bullet"/>
      <w:lvlText w:val="■"/>
      <w:lvlJc w:val="left"/>
      <w:pPr>
        <w:ind w:left="2160" w:hanging="360"/>
      </w:pPr>
    </w:lvl>
    <w:lvl w:ilvl="3" w:tplc="0C42BC10">
      <w:start w:val="1"/>
      <w:numFmt w:val="bullet"/>
      <w:lvlText w:val="●"/>
      <w:lvlJc w:val="left"/>
      <w:pPr>
        <w:ind w:left="2880" w:hanging="360"/>
      </w:pPr>
    </w:lvl>
    <w:lvl w:ilvl="4" w:tplc="3092DE62">
      <w:start w:val="1"/>
      <w:numFmt w:val="bullet"/>
      <w:lvlText w:val="○"/>
      <w:lvlJc w:val="left"/>
      <w:pPr>
        <w:ind w:left="3600" w:hanging="360"/>
      </w:pPr>
    </w:lvl>
    <w:lvl w:ilvl="5" w:tplc="09CEA3B0">
      <w:start w:val="1"/>
      <w:numFmt w:val="bullet"/>
      <w:lvlText w:val="■"/>
      <w:lvlJc w:val="left"/>
      <w:pPr>
        <w:ind w:left="4320" w:hanging="360"/>
      </w:pPr>
    </w:lvl>
    <w:lvl w:ilvl="6" w:tplc="2650112E">
      <w:start w:val="1"/>
      <w:numFmt w:val="bullet"/>
      <w:lvlText w:val="●"/>
      <w:lvlJc w:val="left"/>
      <w:pPr>
        <w:ind w:left="5040" w:hanging="360"/>
      </w:pPr>
    </w:lvl>
    <w:lvl w:ilvl="7" w:tplc="8F149914">
      <w:start w:val="1"/>
      <w:numFmt w:val="bullet"/>
      <w:lvlText w:val="●"/>
      <w:lvlJc w:val="left"/>
      <w:pPr>
        <w:ind w:left="5760" w:hanging="360"/>
      </w:pPr>
    </w:lvl>
    <w:lvl w:ilvl="8" w:tplc="112E74B8">
      <w:start w:val="1"/>
      <w:numFmt w:val="bullet"/>
      <w:lvlText w:val="●"/>
      <w:lvlJc w:val="left"/>
      <w:pPr>
        <w:ind w:left="6480" w:hanging="360"/>
      </w:pPr>
    </w:lvl>
  </w:abstractNum>
  <w:num w:numId="1" w16cid:durableId="1250499456">
    <w:abstractNumId w:val="1"/>
    <w:lvlOverride w:ilvl="0">
      <w:startOverride w:val="1"/>
    </w:lvlOverride>
  </w:num>
  <w:num w:numId="2" w16cid:durableId="1712873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113"/>
    <w:rsid w:val="00063113"/>
    <w:rsid w:val="000E004A"/>
    <w:rsid w:val="009B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11C2"/>
  <w15:docId w15:val="{85CFF48D-48B2-4A20-BB7F-06122167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991</Words>
  <Characters>5652</Characters>
  <Application>Microsoft Office Word</Application>
  <DocSecurity>0</DocSecurity>
  <Lines>47</Lines>
  <Paragraphs>13</Paragraphs>
  <ScaleCrop>false</ScaleCrop>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HomePC</cp:lastModifiedBy>
  <cp:revision>2</cp:revision>
  <dcterms:created xsi:type="dcterms:W3CDTF">2026-09-01T06:19:00Z</dcterms:created>
  <dcterms:modified xsi:type="dcterms:W3CDTF">2026-09-01T06:24:00Z</dcterms:modified>
</cp:coreProperties>
</file>