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3C295" w14:textId="77777777" w:rsidR="000E29CA" w:rsidRDefault="00000000" w:rsidP="00BF60F1">
      <w:pPr>
        <w:spacing w:after="60" w:line="20" w:lineRule="atLeast"/>
        <w:jc w:val="center"/>
      </w:pPr>
      <w:r>
        <w:rPr>
          <w:b/>
          <w:bCs/>
          <w:color w:val="1F3864"/>
          <w:sz w:val="40"/>
          <w:szCs w:val="40"/>
        </w:rPr>
        <w:t>AAPL Time-Series Analysis</w:t>
      </w:r>
    </w:p>
    <w:p w14:paraId="385CA233" w14:textId="77777777" w:rsidR="000E29CA" w:rsidRPr="00E37BC0" w:rsidRDefault="00000000" w:rsidP="00BF60F1">
      <w:pPr>
        <w:spacing w:after="60" w:line="20" w:lineRule="atLeast"/>
        <w:jc w:val="center"/>
      </w:pPr>
      <w:r w:rsidRPr="00E37BC0">
        <w:rPr>
          <w:color w:val="595959"/>
          <w:sz w:val="24"/>
          <w:szCs w:val="24"/>
        </w:rPr>
        <w:t>Insight Summary — Week 6 Advanced Python Task</w:t>
      </w:r>
    </w:p>
    <w:p w14:paraId="54C750B9" w14:textId="1F20089B" w:rsidR="000E29CA" w:rsidRDefault="00000000" w:rsidP="00BF60F1">
      <w:pPr>
        <w:pBdr>
          <w:bottom w:val="single" w:sz="6" w:space="8" w:color="1F3864"/>
        </w:pBdr>
        <w:spacing w:after="300" w:line="20" w:lineRule="atLeast"/>
        <w:jc w:val="center"/>
        <w:rPr>
          <w:color w:val="808080"/>
        </w:rPr>
      </w:pPr>
      <w:r>
        <w:rPr>
          <w:color w:val="808080"/>
        </w:rPr>
        <w:t xml:space="preserve">AnalystLab Africa Data Analytics </w:t>
      </w:r>
      <w:r w:rsidR="00E37BC0">
        <w:rPr>
          <w:color w:val="808080"/>
        </w:rPr>
        <w:t xml:space="preserve">Internship </w:t>
      </w:r>
    </w:p>
    <w:p w14:paraId="350409B2" w14:textId="77777777" w:rsidR="00E37BC0" w:rsidRDefault="00E37BC0" w:rsidP="00B615E7"/>
    <w:p w14:paraId="7D70AD02" w14:textId="77777777" w:rsidR="000E29CA" w:rsidRDefault="00000000" w:rsidP="00BF60F1">
      <w:pPr>
        <w:pStyle w:val="Heading1"/>
        <w:spacing w:before="300" w:after="150" w:line="20" w:lineRule="atLeast"/>
      </w:pPr>
      <w:r>
        <w:t>1. Dataset Overview</w:t>
      </w:r>
    </w:p>
    <w:p w14:paraId="66AA23D4" w14:textId="77777777" w:rsidR="000E29CA" w:rsidRPr="00E37BC0" w:rsidRDefault="00000000" w:rsidP="00BF60F1">
      <w:pPr>
        <w:spacing w:after="15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The analysis uses Apple Inc. (AAPL) historical daily stock market data retrieved via the yfinance Python library, covering the period from January 4, 2021 to December 31, 2025.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0E29CA" w:rsidRPr="00E37BC0" w14:paraId="2DF4403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2F5496"/>
          </w:tcPr>
          <w:p w14:paraId="282D70D5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340" w:type="dxa"/>
            <w:shd w:val="clear" w:color="auto" w:fill="2F5496"/>
          </w:tcPr>
          <w:p w14:paraId="724E55AC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b/>
                <w:bCs/>
                <w:color w:val="FFFFFF"/>
                <w:sz w:val="24"/>
                <w:szCs w:val="24"/>
              </w:rPr>
              <w:t>Value</w:t>
            </w:r>
          </w:p>
        </w:tc>
        <w:tc>
          <w:tcPr>
            <w:tcW w:w="2340" w:type="dxa"/>
            <w:shd w:val="clear" w:color="auto" w:fill="2F5496"/>
          </w:tcPr>
          <w:p w14:paraId="42398D76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b/>
                <w:bCs/>
                <w:color w:val="FFFFFF"/>
                <w:sz w:val="24"/>
                <w:szCs w:val="24"/>
              </w:rPr>
              <w:t>Metric</w:t>
            </w:r>
          </w:p>
        </w:tc>
        <w:tc>
          <w:tcPr>
            <w:tcW w:w="2340" w:type="dxa"/>
            <w:shd w:val="clear" w:color="auto" w:fill="2F5496"/>
          </w:tcPr>
          <w:p w14:paraId="34F4C9F3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b/>
                <w:bCs/>
                <w:color w:val="FFFFFF"/>
                <w:sz w:val="24"/>
                <w:szCs w:val="24"/>
              </w:rPr>
              <w:t>Value</w:t>
            </w:r>
          </w:p>
        </w:tc>
      </w:tr>
      <w:tr w:rsidR="000E29CA" w:rsidRPr="00E37BC0" w14:paraId="771093E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E4FC4F7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Trading Days</w:t>
            </w:r>
          </w:p>
        </w:tc>
        <w:tc>
          <w:tcPr>
            <w:tcW w:w="2340" w:type="dxa"/>
          </w:tcPr>
          <w:p w14:paraId="2543E271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1,255</w:t>
            </w:r>
          </w:p>
        </w:tc>
        <w:tc>
          <w:tcPr>
            <w:tcW w:w="2340" w:type="dxa"/>
          </w:tcPr>
          <w:p w14:paraId="3852D10F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Missing Values</w:t>
            </w:r>
          </w:p>
        </w:tc>
        <w:tc>
          <w:tcPr>
            <w:tcW w:w="2340" w:type="dxa"/>
          </w:tcPr>
          <w:p w14:paraId="5C2AF547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0</w:t>
            </w:r>
          </w:p>
        </w:tc>
      </w:tr>
      <w:tr w:rsidR="000E29CA" w:rsidRPr="00E37BC0" w14:paraId="40CCC28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520739CB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Duplicate Rows</w:t>
            </w:r>
          </w:p>
        </w:tc>
        <w:tc>
          <w:tcPr>
            <w:tcW w:w="2340" w:type="dxa"/>
          </w:tcPr>
          <w:p w14:paraId="7A410D2A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2340" w:type="dxa"/>
          </w:tcPr>
          <w:p w14:paraId="2CA2FE18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Price Range</w:t>
            </w:r>
          </w:p>
        </w:tc>
        <w:tc>
          <w:tcPr>
            <w:tcW w:w="2340" w:type="dxa"/>
          </w:tcPr>
          <w:p w14:paraId="03FA9FB0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$113 – $287</w:t>
            </w:r>
          </w:p>
        </w:tc>
      </w:tr>
      <w:tr w:rsidR="000E29CA" w:rsidRPr="00E37BC0" w14:paraId="7CA50AE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</w:tcPr>
          <w:p w14:paraId="0A50B474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Mean Close Price</w:t>
            </w:r>
          </w:p>
        </w:tc>
        <w:tc>
          <w:tcPr>
            <w:tcW w:w="2340" w:type="dxa"/>
          </w:tcPr>
          <w:p w14:paraId="55278B13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≈ $179</w:t>
            </w:r>
          </w:p>
        </w:tc>
        <w:tc>
          <w:tcPr>
            <w:tcW w:w="2340" w:type="dxa"/>
          </w:tcPr>
          <w:p w14:paraId="690F35EF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Columns</w:t>
            </w:r>
          </w:p>
        </w:tc>
        <w:tc>
          <w:tcPr>
            <w:tcW w:w="2340" w:type="dxa"/>
          </w:tcPr>
          <w:p w14:paraId="07951075" w14:textId="77777777" w:rsidR="000E29CA" w:rsidRPr="00E37BC0" w:rsidRDefault="00000000" w:rsidP="00BF60F1">
            <w:pPr>
              <w:spacing w:line="20" w:lineRule="atLeast"/>
              <w:jc w:val="center"/>
              <w:rPr>
                <w:sz w:val="24"/>
                <w:szCs w:val="24"/>
              </w:rPr>
            </w:pPr>
            <w:r w:rsidRPr="00E37BC0">
              <w:rPr>
                <w:color w:val="000000"/>
                <w:sz w:val="24"/>
                <w:szCs w:val="24"/>
              </w:rPr>
              <w:t>Close, High, Low, Open, Volume</w:t>
            </w:r>
          </w:p>
        </w:tc>
      </w:tr>
    </w:tbl>
    <w:p w14:paraId="62A12FAA" w14:textId="77777777" w:rsidR="000E29CA" w:rsidRDefault="000E29CA" w:rsidP="00BF60F1">
      <w:pPr>
        <w:spacing w:after="200" w:line="20" w:lineRule="atLeast"/>
      </w:pPr>
    </w:p>
    <w:p w14:paraId="5CAE797A" w14:textId="77777777" w:rsidR="000E29CA" w:rsidRDefault="00000000" w:rsidP="00BF60F1">
      <w:pPr>
        <w:pStyle w:val="Heading1"/>
        <w:spacing w:before="300" w:after="150" w:line="20" w:lineRule="atLeast"/>
      </w:pPr>
      <w:r>
        <w:t>2. Data Transformation Techniques Applied</w:t>
      </w:r>
    </w:p>
    <w:p w14:paraId="2C772CAA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Flattened yfinance's multi-level column headers (Price/Ticker) into single-level column names for easier access.</w:t>
      </w:r>
    </w:p>
    <w:p w14:paraId="72F94C72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Verified data types (float64 for prices, int64 for volume) and confirmed zero missing values and zero duplicate rows — no cleaning corrections were required.</w:t>
      </w:r>
    </w:p>
    <w:p w14:paraId="60F6B7AF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Used a DatetimeIndex to enable time-based operations such as rolling windows and monthly resampling.</w:t>
      </w:r>
    </w:p>
    <w:p w14:paraId="73F1A198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Generated summary statistics (mean, min, max, standard deviation) to establish the baseline trading range.</w:t>
      </w:r>
    </w:p>
    <w:p w14:paraId="17D12913" w14:textId="77777777" w:rsidR="000E29CA" w:rsidRDefault="00000000" w:rsidP="00BF60F1">
      <w:pPr>
        <w:pStyle w:val="Heading1"/>
        <w:spacing w:before="300" w:after="150" w:line="20" w:lineRule="atLeast"/>
      </w:pPr>
      <w:r>
        <w:t>3. Features Engineered</w:t>
      </w:r>
    </w:p>
    <w:p w14:paraId="4E218442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Daily_Change — dollar difference between Close and Open, showing intraday direction.</w:t>
      </w:r>
    </w:p>
    <w:p w14:paraId="76DBC751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Pct_Change — day-over-day percentage return, used to measure momentum and volatility.</w:t>
      </w:r>
    </w:p>
    <w:p w14:paraId="687A6B7B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MA7 / MA30 — 7-day and 30-day rolling moving averages, used to smooth noise and reveal short- and long-term trend direction.</w:t>
      </w:r>
    </w:p>
    <w:p w14:paraId="3B7A2DAB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Volatility_30 — 30-day rolling standard deviation of daily returns, used to flag turbulent trading periods.</w:t>
      </w:r>
    </w:p>
    <w:p w14:paraId="5936C6BF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Monthly_returns — month-end resampled percentage change, used to evaluate performance on a monthly cadence.</w:t>
      </w:r>
    </w:p>
    <w:p w14:paraId="25736E1F" w14:textId="77777777" w:rsidR="000E29CA" w:rsidRDefault="00000000" w:rsidP="00BF60F1">
      <w:pPr>
        <w:pStyle w:val="Heading1"/>
        <w:spacing w:before="300" w:after="150" w:line="20" w:lineRule="atLeast"/>
      </w:pPr>
      <w:r>
        <w:t>4. Trends Identified</w:t>
      </w:r>
    </w:p>
    <w:p w14:paraId="585461D8" w14:textId="77777777" w:rsidR="000E29CA" w:rsidRDefault="00000000" w:rsidP="00BF60F1">
      <w:pPr>
        <w:pStyle w:val="Heading2"/>
        <w:spacing w:before="200" w:after="100" w:line="20" w:lineRule="atLeast"/>
      </w:pPr>
      <w:r>
        <w:t>Price Trend</w:t>
      </w:r>
    </w:p>
    <w:p w14:paraId="383A795B" w14:textId="77777777" w:rsidR="000E29CA" w:rsidRDefault="00000000" w:rsidP="00BF60F1">
      <w:pPr>
        <w:spacing w:after="150" w:line="20" w:lineRule="atLeast"/>
      </w:pPr>
      <w:r w:rsidRPr="00E37BC0">
        <w:rPr>
          <w:sz w:val="24"/>
          <w:szCs w:val="24"/>
        </w:rPr>
        <w:t xml:space="preserve">AAPL traded in a choppy, sideways range through 2021–2023, moved into a sustained uptrend during 2024, experienced a sharp correction in early 2025, and staged a strong recovery rally into early 2026. </w:t>
      </w:r>
      <w:r w:rsidRPr="00E37BC0">
        <w:rPr>
          <w:sz w:val="24"/>
          <w:szCs w:val="24"/>
        </w:rPr>
        <w:lastRenderedPageBreak/>
        <w:t>The 30-day moving average tracked this cycle clearly, confirming the price action was a genuine trend shift rather than daily noise.</w:t>
      </w:r>
    </w:p>
    <w:p w14:paraId="364E6263" w14:textId="77777777" w:rsidR="000E29CA" w:rsidRDefault="00000000" w:rsidP="00BF60F1">
      <w:pPr>
        <w:pStyle w:val="Heading2"/>
        <w:spacing w:before="200" w:after="100" w:line="20" w:lineRule="atLeast"/>
      </w:pPr>
      <w:r>
        <w:t>Trading Volume</w:t>
      </w:r>
    </w:p>
    <w:p w14:paraId="782150FE" w14:textId="77777777" w:rsidR="000E29CA" w:rsidRPr="00E37BC0" w:rsidRDefault="00000000" w:rsidP="00BF60F1">
      <w:pPr>
        <w:spacing w:after="15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Daily volume declined steadily from a high, active baseline in 2021 (frequently 100–150 million shares/day) to a calmer baseline of roughly 50–80 million shares/day by 2023–2025. A single extreme outlier day near late 2024/early 2025 reached close to 300 million shares — by far the highest-volume day in the dataset, coinciding with the period of sharpest price volatility.</w:t>
      </w:r>
    </w:p>
    <w:p w14:paraId="312D2918" w14:textId="77777777" w:rsidR="000E29CA" w:rsidRDefault="00000000" w:rsidP="00BF60F1">
      <w:pPr>
        <w:pStyle w:val="Heading2"/>
        <w:spacing w:before="200" w:after="100" w:line="20" w:lineRule="atLeast"/>
      </w:pPr>
      <w:r>
        <w:t>Volatility &amp; Daily Returns</w:t>
      </w:r>
    </w:p>
    <w:p w14:paraId="2C8E4B45" w14:textId="77777777" w:rsidR="000E29CA" w:rsidRPr="00E37BC0" w:rsidRDefault="00000000" w:rsidP="00BF60F1">
      <w:pPr>
        <w:spacing w:after="15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Most trading days produced returns within a normal ±2% band. 2025 stood out as the most volatile year, including a single-day gain near +15% and a single-day loss near -9% occurring close together — both aligning with elevated trading volume on the same dates, which reinforces that large volume spikes and large price swings tend to move together.</w:t>
      </w:r>
    </w:p>
    <w:p w14:paraId="69EA6FD4" w14:textId="77777777" w:rsidR="000E29CA" w:rsidRDefault="00000000" w:rsidP="00BF60F1">
      <w:pPr>
        <w:pStyle w:val="Heading2"/>
        <w:spacing w:before="200" w:after="100" w:line="20" w:lineRule="atLeast"/>
      </w:pPr>
      <w:r>
        <w:t>Monthly Performance</w:t>
      </w:r>
    </w:p>
    <w:p w14:paraId="61D10915" w14:textId="77777777" w:rsidR="000E29CA" w:rsidRPr="00E37BC0" w:rsidRDefault="00000000" w:rsidP="00BF60F1">
      <w:pPr>
        <w:spacing w:after="15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Positive months outnumbered negative months across the full period, consistent with the overall uptrend. The strongest month returned close to +19% (mid-2022), while the weakest months, both near -11% to -12%, clustered in late 2022 — indicating that period was a sustained rough stretch rather than a single bad week.</w:t>
      </w:r>
    </w:p>
    <w:p w14:paraId="2B564824" w14:textId="77777777" w:rsidR="000E29CA" w:rsidRDefault="00000000" w:rsidP="00BF60F1">
      <w:pPr>
        <w:pStyle w:val="Heading1"/>
        <w:spacing w:before="300" w:after="150" w:line="20" w:lineRule="atLeast"/>
      </w:pPr>
      <w:r>
        <w:t>5. Key Insights</w:t>
      </w:r>
    </w:p>
    <w:p w14:paraId="281A5AEE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AAPL's long-term trajectory is upward, but the path included a multi-year sideways phase (2021–2023) before the 2024 breakout — patience through consolidation periods would have preceded the largest gains.</w:t>
      </w:r>
    </w:p>
    <w:p w14:paraId="161F2BBD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Volume and volatility are correlated: the highest-volume trading days consistently line up with the largest single-day price swings, both gains and losses.</w:t>
      </w:r>
    </w:p>
    <w:p w14:paraId="44DDABE1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2025 was the most turbulent year in the dataset by both volume and daily return standard deviation, despite ending the year near its all-time high — suggesting strong conviction moves rather than aimless noise.</w:t>
      </w:r>
    </w:p>
    <w:p w14:paraId="0717B5C0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Late 2022 was the weakest sustained period, with two of the worst monthly returns in the entire five-year window, useful as a case study for how the stock behaves during broader market stress.</w:t>
      </w:r>
    </w:p>
    <w:p w14:paraId="33A44684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The 30-day moving average proved a reliable trend filter throughout — every major trend change in the price chart was preceded or confirmed by the MA30 line changing direction.</w:t>
      </w:r>
    </w:p>
    <w:p w14:paraId="4031FF88" w14:textId="77777777" w:rsidR="000E29CA" w:rsidRDefault="00000000" w:rsidP="00BF60F1">
      <w:pPr>
        <w:pStyle w:val="Heading1"/>
        <w:spacing w:before="300" w:after="150" w:line="20" w:lineRule="atLeast"/>
      </w:pPr>
      <w:r>
        <w:t>6. Recommendations</w:t>
      </w:r>
    </w:p>
    <w:p w14:paraId="5924EC7B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Use the 7-day/30-day moving average crossover as a simple trend-confirmation signal before treating a price move as a genuine trend change rather than noise.</w:t>
      </w:r>
    </w:p>
    <w:p w14:paraId="78910FFC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Monitor the Volatility_30 feature as an early warning indicator — rising volatility ahead of earnings dates could flag periods where risk management should be tightened.</w:t>
      </w:r>
    </w:p>
    <w:p w14:paraId="701F2690" w14:textId="77777777" w:rsidR="000E29CA" w:rsidRPr="00E37BC0" w:rsidRDefault="00000000" w:rsidP="00BF60F1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Treat days with unusually high volume as higher-priority for review, since they carry a disproportionate share of the stock's largest price moves.</w:t>
      </w:r>
    </w:p>
    <w:p w14:paraId="2FB4EB64" w14:textId="2A9A76EE" w:rsidR="000E29CA" w:rsidRPr="00B615E7" w:rsidRDefault="00000000" w:rsidP="00B615E7">
      <w:pPr>
        <w:pStyle w:val="ListParagraph"/>
        <w:numPr>
          <w:ilvl w:val="0"/>
          <w:numId w:val="1"/>
        </w:numPr>
        <w:spacing w:after="80" w:line="20" w:lineRule="atLeast"/>
        <w:rPr>
          <w:sz w:val="24"/>
          <w:szCs w:val="24"/>
        </w:rPr>
      </w:pPr>
      <w:r w:rsidRPr="00E37BC0">
        <w:rPr>
          <w:sz w:val="24"/>
          <w:szCs w:val="24"/>
        </w:rPr>
        <w:t>Extend this analysis with sector or index comparisons (e.g., against NASDAQ) to determine whether AAPL's volatility spikes were company-specific or reflected broader market conditions.</w:t>
      </w:r>
    </w:p>
    <w:sectPr w:rsidR="000E29CA" w:rsidRPr="00B615E7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103E8"/>
    <w:multiLevelType w:val="hybridMultilevel"/>
    <w:tmpl w:val="7F962362"/>
    <w:lvl w:ilvl="0" w:tplc="B11863DA">
      <w:start w:val="1"/>
      <w:numFmt w:val="bullet"/>
      <w:lvlText w:val="●"/>
      <w:lvlJc w:val="left"/>
      <w:pPr>
        <w:ind w:left="720" w:hanging="360"/>
      </w:pPr>
    </w:lvl>
    <w:lvl w:ilvl="1" w:tplc="09C0899E">
      <w:start w:val="1"/>
      <w:numFmt w:val="bullet"/>
      <w:lvlText w:val="○"/>
      <w:lvlJc w:val="left"/>
      <w:pPr>
        <w:ind w:left="1440" w:hanging="360"/>
      </w:pPr>
    </w:lvl>
    <w:lvl w:ilvl="2" w:tplc="DC52D76A">
      <w:start w:val="1"/>
      <w:numFmt w:val="bullet"/>
      <w:lvlText w:val="■"/>
      <w:lvlJc w:val="left"/>
      <w:pPr>
        <w:ind w:left="2160" w:hanging="360"/>
      </w:pPr>
    </w:lvl>
    <w:lvl w:ilvl="3" w:tplc="B37E9108">
      <w:start w:val="1"/>
      <w:numFmt w:val="bullet"/>
      <w:lvlText w:val="●"/>
      <w:lvlJc w:val="left"/>
      <w:pPr>
        <w:ind w:left="2880" w:hanging="360"/>
      </w:pPr>
    </w:lvl>
    <w:lvl w:ilvl="4" w:tplc="4DD69640">
      <w:start w:val="1"/>
      <w:numFmt w:val="bullet"/>
      <w:lvlText w:val="○"/>
      <w:lvlJc w:val="left"/>
      <w:pPr>
        <w:ind w:left="3600" w:hanging="360"/>
      </w:pPr>
    </w:lvl>
    <w:lvl w:ilvl="5" w:tplc="B3381056">
      <w:start w:val="1"/>
      <w:numFmt w:val="bullet"/>
      <w:lvlText w:val="■"/>
      <w:lvlJc w:val="left"/>
      <w:pPr>
        <w:ind w:left="4320" w:hanging="360"/>
      </w:pPr>
    </w:lvl>
    <w:lvl w:ilvl="6" w:tplc="06ECF53A">
      <w:start w:val="1"/>
      <w:numFmt w:val="bullet"/>
      <w:lvlText w:val="●"/>
      <w:lvlJc w:val="left"/>
      <w:pPr>
        <w:ind w:left="5040" w:hanging="360"/>
      </w:pPr>
    </w:lvl>
    <w:lvl w:ilvl="7" w:tplc="3216DA56">
      <w:start w:val="1"/>
      <w:numFmt w:val="bullet"/>
      <w:lvlText w:val="●"/>
      <w:lvlJc w:val="left"/>
      <w:pPr>
        <w:ind w:left="5760" w:hanging="360"/>
      </w:pPr>
    </w:lvl>
    <w:lvl w:ilvl="8" w:tplc="D5E08E86">
      <w:start w:val="1"/>
      <w:numFmt w:val="bullet"/>
      <w:lvlText w:val="●"/>
      <w:lvlJc w:val="left"/>
      <w:pPr>
        <w:ind w:left="6480" w:hanging="360"/>
      </w:pPr>
    </w:lvl>
  </w:abstractNum>
  <w:num w:numId="1" w16cid:durableId="815687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9CA"/>
    <w:rsid w:val="000E29CA"/>
    <w:rsid w:val="009B3A3B"/>
    <w:rsid w:val="00B615E7"/>
    <w:rsid w:val="00BF60F1"/>
    <w:rsid w:val="00E3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32E79"/>
  <w15:docId w15:val="{8274A19E-2BCA-476F-8724-D03E2038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61028-6B13-4311-BA46-E644A3AC53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694</Words>
  <Characters>3958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HomePC</cp:lastModifiedBy>
  <cp:revision>3</cp:revision>
  <dcterms:created xsi:type="dcterms:W3CDTF">2026-08-13T14:19:00Z</dcterms:created>
  <dcterms:modified xsi:type="dcterms:W3CDTF">2026-08-13T14:50:00Z</dcterms:modified>
</cp:coreProperties>
</file>