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backlog, CPM, DER, caso de uso, </w:t>
      </w:r>
      <w:r w:rsidDel="00000000" w:rsidR="00000000" w:rsidRPr="00000000">
        <w:rPr>
          <w:rtl w:val="0"/>
        </w:rPr>
        <w:t xml:space="preserve">disposicion</w:t>
      </w:r>
      <w:r w:rsidDel="00000000" w:rsidR="00000000" w:rsidRPr="00000000">
        <w:rPr>
          <w:rtl w:val="0"/>
        </w:rPr>
        <w:t xml:space="preserve"> de redes, DB, packet tracer, diagrama de secuencia, extensión de caso de uso.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empezar con los SP, el diagrama de clases, organización de requerimientos sprint2, CPM del sprint n2 y Gantt del sprint n2. Y continuar con el presupuesto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SP y el diagrama de clases  lo harán Martin Romero y Gaston Amaya. Todo lo que corresponde al sprint n2 lo hara Rosendo Osores. Continuará con el presupuesto Martin LOPEZ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