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5"/>
          <w:szCs w:val="25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Guión audiovisual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5745"/>
        <w:gridCol w:w="2085"/>
        <w:gridCol w:w="2085"/>
        <w:tblGridChange w:id="0">
          <w:tblGrid>
            <w:gridCol w:w="2415"/>
            <w:gridCol w:w="574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c050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Product Owner - Las 3 Vs</w:t>
            </w:r>
          </w:p>
        </w:tc>
        <w:tc>
          <w:tcPr>
            <w:shd w:fill="c050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No. de cápsula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c050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Tema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Validacion de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c050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Título del vídeo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Prototipo de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c050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Objetivo del video / cápsula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En esta cápsula identificarás las similitudes y diferencias que existen entre los roles que conforman al equipo Scrum.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color w:val="000000"/>
          <w:sz w:val="25"/>
          <w:szCs w:val="25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330.0" w:type="dxa"/>
        <w:jc w:val="left"/>
        <w:tblInd w:w="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155"/>
        <w:gridCol w:w="2400"/>
        <w:gridCol w:w="2055"/>
        <w:tblGridChange w:id="0">
          <w:tblGrid>
            <w:gridCol w:w="720"/>
            <w:gridCol w:w="7155"/>
            <w:gridCol w:w="2400"/>
            <w:gridCol w:w="205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4"/>
            <w:shd w:fill="c0504d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Título de video</w:t>
            </w:r>
          </w:p>
        </w:tc>
      </w:tr>
      <w:tr>
        <w:trPr>
          <w:cantSplit w:val="0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19">
            <w:pPr>
              <w:spacing w:line="240" w:lineRule="auto"/>
              <w:ind w:left="3" w:firstLine="0"/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Time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Discurso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1B">
            <w:pPr>
              <w:spacing w:line="240" w:lineRule="auto"/>
              <w:ind w:left="3" w:firstLine="0"/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Textos de refuerzo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left="3" w:firstLine="0"/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Imágenes / Indicaciones para el montaje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producto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factibilidad en entornos reales de nuestro producto y áreas de oportunidad mediante pruebas y mejoras detallados por el cliente. Ahora identificarás la factibilidad en entornos reales de nuestro producto y las áreas de oportunidad por medio de pruebas y mejoras detalladas por el cliente.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"* Desarrollo de idea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 Factibilidad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 Pruebas "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Refinazar historias de usuario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76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76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5"/>
                <w:szCs w:val="25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/>
      <w:drawing>
        <wp:inline distB="114300" distT="114300" distL="114300" distR="114300">
          <wp:extent cx="867728" cy="626082"/>
          <wp:effectExtent b="0" l="0" r="0" t="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728" cy="6260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MOWNDAWfTGNwmy2RFq+pdPHI8Q==">AMUW2mV43XUWs0KJYxhKVbiMF9M5+1UY3GKnUDP2spAGiJYTCyLT6iNYKDPaaug0G9twAkrcmd+liTakqVB49A2twIV0+Rjvmbt1OUzjgPcCb1KVPPEmYIE=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