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SQL Server Database Design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DOC-DATA-001 | Purpose: Logical schema, ERD, data dictionary, migration and seed policy.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0.3.0 / TWO MIGRATIONS GENERATED — SQL RUNTIME NOT VERIFIED | Owner: Database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Architecture, API, Local Setup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ERD</w:t>
      </w:r>
    </w:p>
    <w:p>
      <w:pPr>
        <w:spacing w:before="120" w:after="40" w:line="276" w:lineRule="auto"/>
      </w:pPr>
      <w:r>
        <w:rPr>
          <w:rFonts w:ascii="Aptos" w:hAnsi="Aptos" w:eastAsia="Aptos" w:cs="Aptos"/>
          <w:color w:val="C6A15B"/>
          <w:sz w:val="18"/>
          <w:szCs w:val="18"/>
          <w:b/>
        </w:rPr>
        <w:t>Diagram source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>erDiagram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ADMIN_USER ||--o{ AUDIT_LOG : performs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POI ||--o{ POI_TRANSLATION : has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POI ||--o{ POI_TOPIC : has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POI_TOPIC ||--o{ TOPIC_TRANSLATION : has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SPONSOR ||--o{ SPONSOR_AGREEMENT : signs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SPONSOR_AGREEMENT ||--o{ SPONSOR_PAYMENT : receives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SPONSOR ||--o{ ADVERTISEMENT : owns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ADVERTISEMENT ||--o{ ADVERTISEMENT_EVENT : records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VISITOR_SESSION ||--o{ VISIT : groups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VISIT_REVENUE_RATE ||--o{ VISIT : applies</w:t>
      </w:r>
    </w:p>
    <w:p>
      <w:pPr>
        <w:spacing w:before="0" w:after="0" w:line="210" w:lineRule="auto"/>
        <w:ind w:left="100" w:hanging="0"/>
        <w:shd w:val="clear" w:color="auto" w:fill="2C1B12"/>
      </w:pPr>
      <w:r>
        <w:rPr>
          <w:rFonts w:ascii="Consolas" w:hAnsi="Consolas" w:eastAsia="Aptos" w:cs="Aptos"/>
          <w:color w:val="E7D9BF"/>
          <w:sz w:val="16"/>
          <w:szCs w:val="16"/>
        </w:rPr>
        <w:t xml:space="preserve">  ADMIN_USER ||--o{ AUDIT_LOG : creates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Core tables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2320"/>
        <w:gridCol w:w="2320"/>
        <w:gridCol w:w="2320"/>
        <w:gridCol w:w="2320"/>
        <w:gridCol w:w="1160"/>
      </w:tblGrid>
      <w:tr>
        <w:trPr>
          <w:tblHeader/>
        </w:trPr>
        <w:tc>
          <w:tcPr>
            <w:tcW w:w="232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Table</w:t>
            </w:r>
          </w:p>
        </w:tc>
        <w:tc>
          <w:tcPr>
            <w:tcW w:w="232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Key fields / constraints</w:t>
            </w:r>
          </w:p>
        </w:tc>
        <w:tc>
          <w:tcPr>
            <w:tcW w:w="232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Purpose</w:t>
            </w:r>
          </w:p>
        </w:tc>
        <w:tc>
          <w:tcPr>
            <w:tcW w:w="232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</w:p>
        </w:tc>
        <w:tc>
          <w:tcPr>
            <w:tcW w:w="116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AdminUsers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Id, normalized DisplayName, normalized Phone unique, PasswordHash, IsActive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One or more admin principals; never expose hash.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Id, unique Slug, coordinates, DisplayOrder, IsActive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Map/card master data.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PoiTranslations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(PoiId, LanguageCode) unique, name/summary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Localized POI labels.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PoiTopics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PoiId, category culture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food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tourism, DisplayOrder, IsActive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Topic grouping.</w:t>
            </w: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TopicTranslations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(TopicId, LanguageCode) unique, title/content, IsPublished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Narration text actually displayed/TTS-read.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Advertisements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placement LEFT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RIGHT, image/target URL, schedule, IsActive, optional SponsorId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Sidebar creatives.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AdvertisementEvents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AdvertisementId, impression/click, UTC event time, optional session hash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Performance signal, not a financial source of truth.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Sponsors, SponsorshipAgreements, SponsorshipPayments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values in decimal(18,2), date/status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Contracted, received and outstanding money separated.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VisitorSessions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anonymous random ID hash, device type, browser family, OS category, first/last seen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Privacy-minimal active-device tracking; active state is calculated from last seen.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Visits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session, occurred time, applied RevenueRateId, accepted/reason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 visit history and estimate.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VisitRevenueRates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amount, currency, effective start/end, no overlap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Historical rate, default USD 0.10.</w:t>
            </w:r>
          </w:p>
        </w:tc>
        <w:tc>
          <w:tcPr>
            <w:tcW w:w="232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  <w:tr>
        <w:trPr/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AuditLogs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admin, action, entity, timestamp, safe details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Admin/security trace.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  <w:tc>
          <w:tcPr>
            <w:tcW w:w="1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Data integrity and direct SQL policy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Use EF Core migrations; do not edit an applied migration. </w:t>
      </w:r>
      <w:r>
        <w:rPr>
          <w:rFonts w:ascii="Consolas" w:hAnsi="Consolas" w:eastAsia="Aptos" w:cs="Aptos"/>
          <w:color w:val="2C1B12"/>
          <w:sz w:val="20"/>
          <w:szCs w:val="20"/>
        </w:rPr>
        <w:t>Pois.IsActive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</w:t>
      </w:r>
      <w:r>
        <w:rPr>
          <w:rFonts w:ascii="Consolas" w:hAnsi="Consolas" w:eastAsia="Aptos" w:cs="Aptos"/>
          <w:color w:val="2C1B12"/>
          <w:sz w:val="20"/>
          <w:szCs w:val="20"/>
        </w:rPr>
        <w:t>PoiTopics.IsActive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and </w:t>
      </w:r>
      <w:r>
        <w:rPr>
          <w:rFonts w:ascii="Consolas" w:hAnsi="Consolas" w:eastAsia="Aptos" w:cs="Aptos"/>
          <w:color w:val="2C1B12"/>
          <w:sz w:val="20"/>
          <w:szCs w:val="20"/>
        </w:rPr>
        <w:t>Advertisements.IsActive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are soft visibility, not destructive delete. Direct SQL edits are allowed only for non-secret content/master records through an approved operator; never manually insert </w:t>
      </w:r>
      <w:r>
        <w:rPr>
          <w:rFonts w:ascii="Consolas" w:hAnsi="Consolas" w:eastAsia="Aptos" w:cs="Aptos"/>
          <w:color w:val="2C1B12"/>
          <w:sz w:val="20"/>
          <w:szCs w:val="20"/>
        </w:rPr>
        <w:t>Visits</w:t>
      </w:r>
      <w:r>
        <w:rPr>
          <w:rFonts w:ascii="Aptos" w:hAnsi="Aptos" w:eastAsia="Aptos" w:cs="Aptos"/>
          <w:color w:val="2C1B12"/>
          <w:sz w:val="21"/>
          <w:szCs w:val="21"/>
        </w:rPr>
        <w:t>, hashes, audit rows or rate application values. The public/admin API reloads SQL data on each request; no hidden frontend fixture is permitted.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Seed and migration policy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The migrations InitialCreate and AddOperationsManagement have been generated from VivoiceDbContext; neither has been applied because no SQL Server instance was verified during audit. The second migration adds advertisement events and browser/OS metadata for anonymous sessions. The runtime seed creates an effective 0.10 USD rate and six Vietnamese POIs/topics. It does not claim non-Vietnamese content is professionally translated. Do not seed a real admin credential. Bootstrap admin comes from User Secrets/environment and is hashed on first startup. Before every schema change: backup database, update this document/ERD/API, create migration, review generated SQL, apply to a non-production DB and record the outcome.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Audit integrity notes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The current model separates traffic estimate, contracted value and received payments, but it has not been tested against a real database. Direct SQL must not be used to fabricate visits or advertisement events. Before operational use, enforce payment-versus-contract rules and verify that every business write and its audit record are committed transactionally; these are open findings in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Implementation Audit</w:t>
      </w:r>
      <w:r>
        <w:rPr>
          <w:rFonts w:ascii="Aptos" w:hAnsi="Aptos" w:eastAsia="Aptos" w:cs="Aptos"/>
          <w:color w:val="2C1B12"/>
          <w:sz w:val="21"/>
          <w:szCs w:val="21"/>
        </w:rPr>
        <w:t>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SQL Server Database Design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