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Морозова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практических навыков установки операционной системы на виртуальную машину, настройки минимально</w:t>
      </w:r>
      <w:r>
        <w:t xml:space="preserve"> </w:t>
      </w:r>
      <w:r>
        <w:t xml:space="preserve">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виртуальную машину, установить операционную систему, установить программное обеспечение для создания документации, выполнить</w:t>
      </w:r>
      <w:r>
        <w:t xml:space="preserve"> </w:t>
      </w:r>
      <w:r>
        <w:t xml:space="preserve">дополнительные задания.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установки обновляем все пакеты. (рис. 1).</w:t>
      </w:r>
    </w:p>
    <w:p>
      <w:pPr>
        <w:pStyle w:val="CaptionedFigure"/>
      </w:pPr>
      <w:r>
        <w:drawing>
          <wp:inline>
            <wp:extent cx="3733800" cy="1477224"/>
            <wp:effectExtent b="0" l="0" r="0" t="0"/>
            <wp:docPr descr="Обновл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Обновления</w:t>
      </w:r>
    </w:p>
    <w:p>
      <w:pPr>
        <w:pStyle w:val="BodyText"/>
      </w:pPr>
      <w:r>
        <w:t xml:space="preserve">Устанавливаем программу для удобства работы в консоли (рис. 2).</w:t>
      </w:r>
    </w:p>
    <w:p>
      <w:pPr>
        <w:pStyle w:val="CaptionedFigure"/>
      </w:pPr>
      <w:r>
        <w:drawing>
          <wp:inline>
            <wp:extent cx="3733800" cy="476250"/>
            <wp:effectExtent b="0" l="0" r="0" t="0"/>
            <wp:docPr descr="Установ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</w:t>
      </w:r>
    </w:p>
    <w:p>
      <w:pPr>
        <w:pStyle w:val="BodyText"/>
      </w:pPr>
      <w:r>
        <w:t xml:space="preserve">Установка программного обеспечения для автоматического обновления. (рис. 3).</w:t>
      </w:r>
    </w:p>
    <w:p>
      <w:pPr>
        <w:pStyle w:val="CaptionedFigure"/>
      </w:pPr>
      <w:r>
        <w:drawing>
          <wp:inline>
            <wp:extent cx="3733800" cy="2916252"/>
            <wp:effectExtent b="0" l="0" r="0" t="0"/>
            <wp:docPr descr="Установк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</w:t>
      </w:r>
    </w:p>
    <w:p>
      <w:pPr>
        <w:pStyle w:val="BodyText"/>
      </w:pPr>
      <w:r>
        <w:t xml:space="preserve">Запускаем таймер (рис. 4).</w:t>
      </w:r>
    </w:p>
    <w:p>
      <w:pPr>
        <w:pStyle w:val="CaptionedFigure"/>
      </w:pPr>
      <w:r>
        <w:drawing>
          <wp:inline>
            <wp:extent cx="3733800" cy="1270643"/>
            <wp:effectExtent b="0" l="0" r="0" t="0"/>
            <wp:docPr descr="Запуск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</w:t>
      </w:r>
    </w:p>
    <w:p>
      <w:pPr>
        <w:pStyle w:val="BodyText"/>
      </w:pPr>
      <w:r>
        <w:t xml:space="preserve">Поменяли значение enforsing на permissive (рис. 5).</w:t>
      </w:r>
    </w:p>
    <w:p>
      <w:pPr>
        <w:pStyle w:val="CaptionedFigure"/>
      </w:pPr>
      <w:r>
        <w:drawing>
          <wp:inline>
            <wp:extent cx="3733800" cy="2190604"/>
            <wp:effectExtent b="0" l="0" r="0" t="0"/>
            <wp:docPr descr="Отключение SELinux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Отключение SELinux</w:t>
      </w:r>
    </w:p>
    <w:p>
      <w:pPr>
        <w:pStyle w:val="BodyText"/>
      </w:pPr>
      <w:r>
        <w:t xml:space="preserve">Устанавливаем средства разработки. (рис. 6).</w:t>
      </w:r>
    </w:p>
    <w:p>
      <w:pPr>
        <w:pStyle w:val="CaptionedFigure"/>
      </w:pPr>
      <w:r>
        <w:drawing>
          <wp:inline>
            <wp:extent cx="3733800" cy="791059"/>
            <wp:effectExtent b="0" l="0" r="0" t="0"/>
            <wp:docPr descr="Установк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1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</w:t>
      </w:r>
    </w:p>
    <w:p>
      <w:pPr>
        <w:pStyle w:val="BodyText"/>
      </w:pPr>
      <w:r>
        <w:t xml:space="preserve">Устанавливаем пакет DKMS (рис. 7).</w:t>
      </w:r>
    </w:p>
    <w:p>
      <w:pPr>
        <w:pStyle w:val="CaptionedFigure"/>
      </w:pPr>
      <w:r>
        <w:drawing>
          <wp:inline>
            <wp:extent cx="3733800" cy="1733028"/>
            <wp:effectExtent b="0" l="0" r="0" t="0"/>
            <wp:docPr descr="Установк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3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</w:t>
      </w:r>
    </w:p>
    <w:p>
      <w:pPr>
        <w:pStyle w:val="BodyText"/>
      </w:pPr>
      <w:r>
        <w:t xml:space="preserve">Подмонтировали диск и установили драйвера.(рис. 8).</w:t>
      </w:r>
    </w:p>
    <w:p>
      <w:pPr>
        <w:pStyle w:val="CaptionedFigure"/>
      </w:pPr>
      <w:r>
        <w:drawing>
          <wp:inline>
            <wp:extent cx="3626863" cy="2074689"/>
            <wp:effectExtent b="0" l="0" r="0" t="0"/>
            <wp:docPr descr="Установка драйвер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2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драйверов</w:t>
      </w:r>
    </w:p>
    <w:p>
      <w:pPr>
        <w:pStyle w:val="BodyText"/>
      </w:pPr>
      <w:r>
        <w:t xml:space="preserve">Создали конфигурационный файл, отредактировали его. (рис. 9).</w:t>
      </w:r>
    </w:p>
    <w:p>
      <w:pPr>
        <w:pStyle w:val="CaptionedFigure"/>
      </w:pPr>
      <w:r>
        <w:drawing>
          <wp:inline>
            <wp:extent cx="3733800" cy="1011904"/>
            <wp:effectExtent b="0" l="0" r="0" t="0"/>
            <wp:docPr descr="Настройка раскладки клавиатуры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раскладки клавиатуры</w:t>
      </w:r>
    </w:p>
    <w:p>
      <w:pPr>
        <w:pStyle w:val="BodyText"/>
      </w:pPr>
      <w:r>
        <w:t xml:space="preserve">Установили имя хоста, проверили его, добавили своего пользователя в группу vboxsf (рис. 10).</w:t>
      </w:r>
    </w:p>
    <w:p>
      <w:pPr>
        <w:pStyle w:val="CaptionedFigure"/>
      </w:pPr>
      <w:r>
        <w:drawing>
          <wp:inline>
            <wp:extent cx="3135085" cy="3196557"/>
            <wp:effectExtent b="0" l="0" r="0" t="0"/>
            <wp:docPr descr="Установка имени пользователя и названия хос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85" cy="3196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имени пользователя и названия хоста</w:t>
      </w:r>
    </w:p>
    <w:p>
      <w:pPr>
        <w:pStyle w:val="BodyText"/>
      </w:pPr>
      <w:r>
        <w:t xml:space="preserve">Подключаем разделяемую папку в хостовой системе (рис. 11).</w:t>
      </w:r>
    </w:p>
    <w:p>
      <w:pPr>
        <w:pStyle w:val="CaptionedFigure"/>
      </w:pPr>
      <w:r>
        <w:drawing>
          <wp:inline>
            <wp:extent cx="3733800" cy="941654"/>
            <wp:effectExtent b="0" l="0" r="0" t="0"/>
            <wp:docPr descr="Подключение общей папк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1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Подключение общей папки</w:t>
      </w:r>
    </w:p>
    <w:p>
      <w:pPr>
        <w:pStyle w:val="BodyText"/>
      </w:pPr>
      <w:r>
        <w:t xml:space="preserve">Установка pandoc для работки с языком разметки markdown(рис. 12).</w:t>
      </w:r>
    </w:p>
    <w:p>
      <w:pPr>
        <w:pStyle w:val="CaptionedFigure"/>
      </w:pPr>
      <w:r>
        <w:drawing>
          <wp:inline>
            <wp:extent cx="3733800" cy="1461278"/>
            <wp:effectExtent b="0" l="0" r="0" t="0"/>
            <wp:docPr descr="Установк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Установка</w:t>
      </w:r>
    </w:p>
    <w:p>
      <w:pPr>
        <w:pStyle w:val="BodyText"/>
      </w:pPr>
      <w:r>
        <w:t xml:space="preserve">Распаковали архивы и поместили программы в необходимый каталог, установили дистрибутив texlive (рис. 13).</w:t>
      </w:r>
    </w:p>
    <w:p>
      <w:pPr>
        <w:pStyle w:val="CaptionedFigure"/>
      </w:pPr>
      <w:r>
        <w:drawing>
          <wp:inline>
            <wp:extent cx="3657600" cy="3150453"/>
            <wp:effectExtent b="0" l="0" r="0" t="0"/>
            <wp:docPr descr="Установк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</w:t>
      </w:r>
    </w:p>
    <w:bookmarkEnd w:id="61"/>
    <w:bookmarkStart w:id="71" w:name="выполнение-дополнительного-задан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дополнительного задания</w:t>
      </w:r>
    </w:p>
    <w:p>
      <w:pPr>
        <w:pStyle w:val="FirstParagraph"/>
      </w:pPr>
      <w:r>
        <w:t xml:space="preserve">Выполнили команду dmesg для просмотра последовательности загрузки системы (рис. 14).</w:t>
      </w:r>
    </w:p>
    <w:p>
      <w:pPr>
        <w:pStyle w:val="CaptionedFigure"/>
      </w:pPr>
      <w:r>
        <w:drawing>
          <wp:inline>
            <wp:extent cx="3065929" cy="1260181"/>
            <wp:effectExtent b="0" l="0" r="0" t="0"/>
            <wp:docPr descr="dmesg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929" cy="1260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dmesg</w:t>
      </w:r>
    </w:p>
    <w:p>
      <w:pPr>
        <w:pStyle w:val="BodyText"/>
      </w:pPr>
      <w:r>
        <w:t xml:space="preserve">Получили информацию о версии ядра Linux c помощью dmesg (рис. 15).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Версия ядра Linux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Версия ядра Linux</w:t>
      </w:r>
    </w:p>
    <w:p>
      <w:pPr>
        <w:pStyle w:val="BodyText"/>
      </w:pPr>
      <w:r>
        <w:t xml:space="preserve">Получили информацию о частоте процессора модели процессора объёме доступной оперативной памяти типе обнаруженного гипервизора типе файловой</w:t>
      </w:r>
      <w:r>
        <w:t xml:space="preserve"> </w:t>
      </w:r>
      <w:r>
        <w:t xml:space="preserve">системы корневого раздела (рис. 16).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Характеристики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Характеристики</w:t>
      </w:r>
    </w:p>
    <w:bookmarkEnd w:id="71"/>
    <w:bookmarkStart w:id="72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1.Учётная запись содержит необходимые данные для идентификации пользователя при подключении к системе.(Системное имя, идентификатор</w:t>
      </w:r>
      <w:r>
        <w:t xml:space="preserve"> </w:t>
      </w:r>
      <w:r>
        <w:t xml:space="preserve">пользователя)</w:t>
      </w:r>
      <w:r>
        <w:t xml:space="preserve"> </w:t>
      </w:r>
      <w:r>
        <w:t xml:space="preserve">2.команда –help, cd, ls, -du имя каталога, mkdir/rmdir, touch/rm, chmod, history.</w:t>
      </w:r>
      <w:r>
        <w:t xml:space="preserve"> </w:t>
      </w:r>
      <w:r>
        <w:t xml:space="preserve">3.Файловая система - порядок, определяющий способ организации хранения и именования данных на различных носителях информации. Например,</w:t>
      </w:r>
      <w:r>
        <w:t xml:space="preserve"> </w:t>
      </w:r>
      <w:r>
        <w:t xml:space="preserve">FAT32 - пространство из трёх частей: зона хранения файлов, область служебных структур, форма указателей в виде таблиц.</w:t>
      </w:r>
      <w:r>
        <w:t xml:space="preserve"> </w:t>
      </w:r>
      <w:r>
        <w:t xml:space="preserve">4.С помощью команды df или с помощью утилиты mount.</w:t>
      </w:r>
      <w:r>
        <w:t xml:space="preserve"> </w:t>
      </w:r>
      <w:r>
        <w:t xml:space="preserve">5.Сначала смотрим какой id у процесса, для этого используем команду ps. Дальше в терминале пишем команду</w:t>
      </w:r>
      <w:r>
        <w:t xml:space="preserve"> </w:t>
      </w:r>
      <w:r>
        <w:t xml:space="preserve">kill id процесса Или можно использовать killall, которая удалит все процессы.</w:t>
      </w:r>
    </w:p>
    <w:bookmarkEnd w:id="72"/>
    <w:bookmarkStart w:id="7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навыки установки операционной системы на виртуальную машину, сделана настройка минимально необходимых для дальнейшей</w:t>
      </w:r>
      <w:r>
        <w:t xml:space="preserve"> </w:t>
      </w:r>
      <w:r>
        <w:t xml:space="preserve">работы сервисов.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Морозова Мария Вячеславовна</dc:creator>
  <dc:language>ru-RU</dc:language>
  <cp:keywords/>
  <dcterms:created xsi:type="dcterms:W3CDTF">2024-03-02T02:45:48Z</dcterms:created>
  <dcterms:modified xsi:type="dcterms:W3CDTF">2024-03-02T02:45:48Z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