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color w:val="1F3A8A"/>
          <w:sz w:val="40"/>
          <w:szCs w:val="40"/>
        </w:rPr>
        <w:t xml:space="preserve">PayKX</w:t>
      </w:r>
    </w:p>
    <w:p>
      <w:pPr>
        <w:pBdr>
          <w:bottom w:val="single" w:color="2563EB" w:sz="12" w:space="4"/>
        </w:pBdr>
        <w:spacing w:after="200"/>
      </w:pPr>
      <w:r>
        <w:rPr>
          <w:rFonts w:ascii="Arial" w:cs="Arial" w:eastAsia="Arial" w:hAnsi="Arial"/>
          <w:color w:val="595959"/>
          <w:sz w:val="20"/>
          <w:szCs w:val="20"/>
        </w:rPr>
        <w:t xml:space="preserve">Ví điện tử cho sinh viên  |  Tài liệu yêu cầu (SRS)  |  Phiên bản 1.0 – 20/05/2024</w:t>
      </w:r>
    </w:p>
    <w:p>
      <w:pPr>
        <w:spacing w:after="80" w:before="600"/>
        <w:jc w:val="center"/>
      </w:pPr>
      <w:r>
        <w:rPr>
          <w:rFonts w:ascii="Arial" w:cs="Arial" w:eastAsia="Arial" w:hAnsi="Arial"/>
          <w:b/>
          <w:bCs/>
          <w:sz w:val="44"/>
          <w:szCs w:val="44"/>
        </w:rPr>
        <w:t xml:space="preserve">TÀI LIỆU MÔ TẢ TÍNH NĂNG</w:t>
      </w:r>
    </w:p>
    <w:p>
      <w:pPr>
        <w:spacing w:after="600"/>
        <w:jc w:val="center"/>
      </w:pPr>
      <w:r>
        <w:rPr>
          <w:rFonts w:ascii="Arial" w:cs="Arial" w:eastAsia="Arial" w:hAnsi="Arial"/>
          <w:b/>
          <w:bCs/>
          <w:color w:val="2563EB"/>
          <w:sz w:val="52"/>
          <w:szCs w:val="52"/>
        </w:rPr>
        <w:t xml:space="preserve">HOÀN TIỀN</w:t>
      </w:r>
    </w:p>
    <w:p>
      <w:pPr>
        <w:spacing w:after="120"/>
      </w:pPr>
      <w:r>
        <w:rPr>
          <w:rFonts w:ascii="Arial" w:cs="Arial" w:eastAsia="Arial" w:hAnsi="Arial"/>
          <w:b/>
          <w:bCs/>
          <w:color w:val="1F3A8A"/>
          <w:sz w:val="26"/>
          <w:szCs w:val="26"/>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pStyle w:val="Heading1"/>
        <w:pageBreakBefore/>
      </w:pPr>
      <w:r>
        <w:t xml:space="preserve">1. Giới thiệu</w:t>
      </w:r>
    </w:p>
    <w:p>
      <w:pPr>
        <w:pStyle w:val="Heading2"/>
      </w:pPr>
      <w:r>
        <w:t xml:space="preserve">1.1 Mục đích</w:t>
      </w:r>
    </w:p>
    <w:p>
      <w:pPr>
        <w:spacing w:after="120" w:line="300"/>
      </w:pPr>
      <w:r>
        <w:rPr>
          <w:rFonts w:ascii="Arial" w:cs="Arial" w:eastAsia="Arial" w:hAnsi="Arial"/>
          <w:sz w:val="22"/>
          <w:szCs w:val="22"/>
        </w:rPr>
        <w:t xml:space="preserve">Tài liệu này mô tả chi tiết yêu cầu và cách hoạt động của tính năng hoàn tiền trong ví điện tử PayKX. Tài liệu dùng cho nhóm phát triển, nhóm kiểm thử và bộ phận chăm sóc khách hàng.</w:t>
      </w:r>
    </w:p>
    <w:p>
      <w:pPr>
        <w:pStyle w:val="Heading2"/>
      </w:pPr>
      <w:r>
        <w:t xml:space="preserve">1.2 Phạm vi</w:t>
      </w:r>
    </w:p>
    <w:p>
      <w:pPr>
        <w:spacing w:after="120" w:line="300"/>
      </w:pPr>
      <w:r>
        <w:rPr>
          <w:rFonts w:ascii="Arial" w:cs="Arial" w:eastAsia="Arial" w:hAnsi="Arial"/>
          <w:sz w:val="22"/>
          <w:szCs w:val="22"/>
        </w:rPr>
        <w:t xml:space="preserve">Áp dụng cho tất cả giao dịch thanh toán, nạp tiền và dịch vụ trên ứng dụng PayKX của sinh viên. Không áp dụng cho giao dịch rút tiền về ngân hàng đã hoàn tất quá 90 ngày.</w:t>
      </w:r>
    </w:p>
    <w:p>
      <w:pPr>
        <w:pStyle w:val="Heading1"/>
      </w:pPr>
      <w:r>
        <w:t xml:space="preserve">2. Tổng quan tính năng</w:t>
      </w:r>
    </w:p>
    <w:p>
      <w:pPr>
        <w:pStyle w:val="Heading2"/>
      </w:pPr>
      <w:r>
        <w:t xml:space="preserve">2.1 Mô tả chung</w:t>
      </w:r>
    </w:p>
    <w:p>
      <w:pPr>
        <w:spacing w:after="120" w:line="300"/>
      </w:pPr>
      <w:r>
        <w:rPr>
          <w:rFonts w:ascii="Arial" w:cs="Arial" w:eastAsia="Arial" w:hAnsi="Arial"/>
          <w:sz w:val="22"/>
          <w:szCs w:val="22"/>
        </w:rPr>
        <w:t xml:space="preserve">Tính năng cho phép người dùng nhận lại tiền vào ví PayKX trong các trường hợp được chấp nhận theo chính sách hoàn tiền.</w:t>
      </w:r>
    </w:p>
    <w:p>
      <w:pPr>
        <w:pStyle w:val="Heading2"/>
      </w:pPr>
      <w:r>
        <w:t xml:space="preserve">2.2 Nguyên tắc hoạt động</w:t>
      </w:r>
    </w:p>
    <w:p>
      <w:pPr>
        <w:pStyle w:val="ListParagraph"/>
        <w:numPr>
          <w:ilvl w:val="0"/>
          <w:numId w:val="2"/>
        </w:numPr>
        <w:spacing w:after="80" w:line="300"/>
      </w:pPr>
      <w:r>
        <w:rPr>
          <w:rFonts w:ascii="Arial" w:cs="Arial" w:eastAsia="Arial" w:hAnsi="Arial"/>
          <w:sz w:val="22"/>
          <w:szCs w:val="22"/>
        </w:rPr>
        <w:t xml:space="preserve">Yêu cầu hoàn tiền được tạo bởi người dùng hoặc hệ thống.</w:t>
      </w:r>
    </w:p>
    <w:p>
      <w:pPr>
        <w:pStyle w:val="ListParagraph"/>
        <w:numPr>
          <w:ilvl w:val="0"/>
          <w:numId w:val="2"/>
        </w:numPr>
        <w:spacing w:after="80" w:line="300"/>
      </w:pPr>
      <w:r>
        <w:rPr>
          <w:rFonts w:ascii="Arial" w:cs="Arial" w:eastAsia="Arial" w:hAnsi="Arial"/>
          <w:sz w:val="22"/>
          <w:szCs w:val="22"/>
        </w:rPr>
        <w:t xml:space="preserve">Hệ thống kiểm tra điều kiện và thực hiện hoàn tiền hợp lệ.</w:t>
      </w:r>
    </w:p>
    <w:p>
      <w:pPr>
        <w:pStyle w:val="ListParagraph"/>
        <w:numPr>
          <w:ilvl w:val="0"/>
          <w:numId w:val="2"/>
        </w:numPr>
        <w:spacing w:after="80" w:line="300"/>
      </w:pPr>
      <w:r>
        <w:rPr>
          <w:rFonts w:ascii="Arial" w:cs="Arial" w:eastAsia="Arial" w:hAnsi="Arial"/>
          <w:sz w:val="22"/>
          <w:szCs w:val="22"/>
        </w:rPr>
        <w:t xml:space="preserve">Tiền hoàn được ghi có vào ví PayKX và thông báo tới người dùng.</w:t>
      </w:r>
    </w:p>
    <w:p>
      <w:pPr>
        <w:pStyle w:val="Heading1"/>
        <w:pageBreakBefore/>
      </w:pPr>
      <w:r>
        <w:t xml:space="preserve">3. Luồng nghiệp vụ</w:t>
      </w:r>
    </w:p>
    <w:p>
      <w:pPr>
        <w:pStyle w:val="Heading2"/>
      </w:pPr>
      <w:r>
        <w:t xml:space="preserve">3.1 Điều kiện hoàn tiền</w:t>
      </w:r>
    </w:p>
    <w:p>
      <w:pPr>
        <w:pStyle w:val="ListParagraph"/>
        <w:numPr>
          <w:ilvl w:val="0"/>
          <w:numId w:val="2"/>
        </w:numPr>
        <w:spacing w:after="80" w:line="300"/>
      </w:pPr>
      <w:r>
        <w:rPr>
          <w:rFonts w:ascii="Arial" w:cs="Arial" w:eastAsia="Arial" w:hAnsi="Arial"/>
          <w:sz w:val="22"/>
          <w:szCs w:val="22"/>
        </w:rPr>
        <w:t xml:space="preserve">Giao dịch có trạng thái thành công và còn trong thời hạn hoàn tiền.</w:t>
      </w:r>
    </w:p>
    <w:p>
      <w:pPr>
        <w:pStyle w:val="ListParagraph"/>
        <w:numPr>
          <w:ilvl w:val="0"/>
          <w:numId w:val="2"/>
        </w:numPr>
        <w:spacing w:after="80" w:line="300"/>
      </w:pPr>
      <w:r>
        <w:rPr>
          <w:rFonts w:ascii="Arial" w:cs="Arial" w:eastAsia="Arial" w:hAnsi="Arial"/>
          <w:sz w:val="22"/>
          <w:szCs w:val="22"/>
        </w:rPr>
        <w:t xml:space="preserve">Giao dịch chưa từng được hoàn tiền trước đó.</w:t>
      </w:r>
    </w:p>
    <w:p>
      <w:pPr>
        <w:pStyle w:val="ListParagraph"/>
        <w:numPr>
          <w:ilvl w:val="0"/>
          <w:numId w:val="2"/>
        </w:numPr>
        <w:spacing w:after="80" w:line="300"/>
      </w:pPr>
      <w:r>
        <w:rPr>
          <w:rFonts w:ascii="Arial" w:cs="Arial" w:eastAsia="Arial" w:hAnsi="Arial"/>
          <w:sz w:val="22"/>
          <w:szCs w:val="22"/>
        </w:rPr>
        <w:t xml:space="preserve">Lý do hoàn tiền thuộc danh mục cho phép: giao dịch trùng, sai số tiền, dịch vụ không được cung cấp.</w:t>
      </w:r>
    </w:p>
    <w:p>
      <w:pPr>
        <w:pStyle w:val="Heading2"/>
      </w:pPr>
      <w:r>
        <w:t xml:space="preserve">3.2 Quy trình hoàn tiền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738"/>
      </w:tblGrid>
      <w:tr>
        <w:trPr>
          <w:tblHeader/>
        </w:trPr>
        <w:tc>
          <w:tcPr>
            <w:tcW w:type="dxa" w:w="900"/>
            <w:tcBorders>
              <w:top w:val="single" w:color="BFBFBF" w:sz="4"/>
              <w:left w:val="single" w:color="BFBFBF" w:sz="4"/>
              <w:bottom w:val="single" w:color="BFBFBF" w:sz="4"/>
              <w:right w:val="single" w:color="BFBFBF" w:sz="4"/>
            </w:tcBorders>
            <w:shd w:fill="1F3A8A" w:color="auto" w:val="clear"/>
            <w:tcMar>
              <w:top w:type="dxa" w:w="60"/>
              <w:left w:type="dxa" w:w="100"/>
              <w:bottom w:type="dxa" w:w="60"/>
              <w:right w:type="dxa" w:w="100"/>
            </w:tcMar>
          </w:tcPr>
          <w:p>
            <w:r>
              <w:rPr>
                <w:rFonts w:ascii="Arial" w:cs="Arial" w:eastAsia="Arial" w:hAnsi="Arial"/>
                <w:b/>
                <w:bCs/>
                <w:color w:val="FFFFFF"/>
                <w:sz w:val="20"/>
                <w:szCs w:val="20"/>
              </w:rPr>
              <w:t xml:space="preserve">Bước</w:t>
            </w:r>
          </w:p>
        </w:tc>
        <w:tc>
          <w:tcPr>
            <w:tcW w:type="dxa" w:w="3000"/>
            <w:tcBorders>
              <w:top w:val="single" w:color="BFBFBF" w:sz="4"/>
              <w:left w:val="single" w:color="BFBFBF" w:sz="4"/>
              <w:bottom w:val="single" w:color="BFBFBF" w:sz="4"/>
              <w:right w:val="single" w:color="BFBFBF" w:sz="4"/>
            </w:tcBorders>
            <w:shd w:fill="1F3A8A" w:color="auto" w:val="clear"/>
            <w:tcMar>
              <w:top w:type="dxa" w:w="60"/>
              <w:left w:type="dxa" w:w="100"/>
              <w:bottom w:type="dxa" w:w="60"/>
              <w:right w:type="dxa" w:w="100"/>
            </w:tcMar>
          </w:tcPr>
          <w:p>
            <w:r>
              <w:rPr>
                <w:rFonts w:ascii="Arial" w:cs="Arial" w:eastAsia="Arial" w:hAnsi="Arial"/>
                <w:b/>
                <w:bCs/>
                <w:color w:val="FFFFFF"/>
                <w:sz w:val="20"/>
                <w:szCs w:val="20"/>
              </w:rPr>
              <w:t xml:space="preserve">Tên bước</w:t>
            </w:r>
          </w:p>
        </w:tc>
        <w:tc>
          <w:tcPr>
            <w:tcW w:type="dxa" w:w="5738"/>
            <w:tcBorders>
              <w:top w:val="single" w:color="BFBFBF" w:sz="4"/>
              <w:left w:val="single" w:color="BFBFBF" w:sz="4"/>
              <w:bottom w:val="single" w:color="BFBFBF" w:sz="4"/>
              <w:right w:val="single" w:color="BFBFBF" w:sz="4"/>
            </w:tcBorders>
            <w:shd w:fill="1F3A8A" w:color="auto" w:val="clear"/>
            <w:tcMar>
              <w:top w:type="dxa" w:w="60"/>
              <w:left w:type="dxa" w:w="100"/>
              <w:bottom w:type="dxa" w:w="60"/>
              <w:right w:type="dxa" w:w="100"/>
            </w:tcMar>
          </w:tcPr>
          <w:p>
            <w:r>
              <w:rPr>
                <w:rFonts w:ascii="Arial" w:cs="Arial" w:eastAsia="Arial" w:hAnsi="Arial"/>
                <w:b/>
                <w:bCs/>
                <w:color w:val="FFFFFF"/>
                <w:sz w:val="20"/>
                <w:szCs w:val="20"/>
              </w:rPr>
              <w:t xml:space="preserve">Mô tả</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Tạo yêu cầu</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Người dùng chọn giao dịch và lý do hoàn tiền trên ứng dụng.</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Kiểm tra</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Hệ thống kiểm tra điều kiện, số tiền và trạng thái giao dịch gốc.</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Duyệt</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Giao dịch dưới 500.000đ được duyệt tự động, từ 500.000đ trở lên cần nhân viên duyệt.</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Hoàn tiền</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Hệ thống ghi có vào ví và cập nhật trạng thái giao dịch.</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Thông báo</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Gửi thông báo đẩy và tin nhắn cho người dùng.</w:t>
            </w:r>
          </w:p>
        </w:tc>
      </w:tr>
    </w:tbl>
    <w:p>
      <w:pPr>
        <w:spacing w:after="120"/>
      </w:pPr>
    </w:p>
    <w:p>
      <w:pPr>
        <w:pStyle w:val="Heading1"/>
      </w:pPr>
      <w:r>
        <w:t xml:space="preserve">4. Mô tả chi tiết chức năng</w:t>
      </w:r>
    </w:p>
    <w:p>
      <w:pPr>
        <w:spacing w:after="120" w:line="300"/>
      </w:pPr>
      <w:r>
        <w:rPr>
          <w:rFonts w:ascii="Arial" w:cs="Arial" w:eastAsia="Arial" w:hAnsi="Arial"/>
          <w:sz w:val="22"/>
          <w:szCs w:val="22"/>
        </w:rPr>
        <w:t xml:space="preserve">Các yêu cầu chức năng (FR) của tính năng hoàn tiền được mô tả như sau.</w:t>
      </w:r>
    </w:p>
    <w:p>
      <w:pPr>
        <w:pStyle w:val="Heading2"/>
      </w:pPr>
      <w:r>
        <w:t xml:space="preserve">4.1 Tạo yêu cầu hoàn tiền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838"/>
        <w:gridCol w:w="1400"/>
      </w:tblGrid>
      <w:tr>
        <w:trPr>
          <w:tblHeader/>
        </w:trPr>
        <w:tc>
          <w:tcPr>
            <w:tcW w:type="dxa" w:w="1100"/>
            <w:tcBorders>
              <w:top w:val="single" w:color="BFBFBF" w:sz="4"/>
              <w:left w:val="single" w:color="BFBFBF" w:sz="4"/>
              <w:bottom w:val="single" w:color="BFBFBF" w:sz="4"/>
              <w:right w:val="single" w:color="BFBFBF" w:sz="4"/>
            </w:tcBorders>
            <w:shd w:fill="1F3A8A" w:color="auto" w:val="clear"/>
            <w:tcMar>
              <w:top w:type="dxa" w:w="60"/>
              <w:left w:type="dxa" w:w="100"/>
              <w:bottom w:type="dxa" w:w="60"/>
              <w:right w:type="dxa" w:w="100"/>
            </w:tcMar>
          </w:tcPr>
          <w:p>
            <w:r>
              <w:rPr>
                <w:rFonts w:ascii="Arial" w:cs="Arial" w:eastAsia="Arial" w:hAnsi="Arial"/>
                <w:b/>
                <w:bCs/>
                <w:color w:val="FFFFFF"/>
                <w:sz w:val="20"/>
                <w:szCs w:val="20"/>
              </w:rPr>
              <w:t xml:space="preserve">Mã</w:t>
            </w:r>
          </w:p>
        </w:tc>
        <w:tc>
          <w:tcPr>
            <w:tcW w:type="dxa" w:w="3300"/>
            <w:tcBorders>
              <w:top w:val="single" w:color="BFBFBF" w:sz="4"/>
              <w:left w:val="single" w:color="BFBFBF" w:sz="4"/>
              <w:bottom w:val="single" w:color="BFBFBF" w:sz="4"/>
              <w:right w:val="single" w:color="BFBFBF" w:sz="4"/>
            </w:tcBorders>
            <w:shd w:fill="1F3A8A" w:color="auto" w:val="clear"/>
            <w:tcMar>
              <w:top w:type="dxa" w:w="60"/>
              <w:left w:type="dxa" w:w="100"/>
              <w:bottom w:type="dxa" w:w="60"/>
              <w:right w:type="dxa" w:w="100"/>
            </w:tcMar>
          </w:tcPr>
          <w:p>
            <w:r>
              <w:rPr>
                <w:rFonts w:ascii="Arial" w:cs="Arial" w:eastAsia="Arial" w:hAnsi="Arial"/>
                <w:b/>
                <w:bCs/>
                <w:color w:val="FFFFFF"/>
                <w:sz w:val="20"/>
                <w:szCs w:val="20"/>
              </w:rPr>
              <w:t xml:space="preserve">Yêu cầu</w:t>
            </w:r>
          </w:p>
        </w:tc>
        <w:tc>
          <w:tcPr>
            <w:tcW w:type="dxa" w:w="3838"/>
            <w:tcBorders>
              <w:top w:val="single" w:color="BFBFBF" w:sz="4"/>
              <w:left w:val="single" w:color="BFBFBF" w:sz="4"/>
              <w:bottom w:val="single" w:color="BFBFBF" w:sz="4"/>
              <w:right w:val="single" w:color="BFBFBF" w:sz="4"/>
            </w:tcBorders>
            <w:shd w:fill="1F3A8A" w:color="auto" w:val="clear"/>
            <w:tcMar>
              <w:top w:type="dxa" w:w="60"/>
              <w:left w:type="dxa" w:w="100"/>
              <w:bottom w:type="dxa" w:w="60"/>
              <w:right w:type="dxa" w:w="100"/>
            </w:tcMar>
          </w:tcPr>
          <w:p>
            <w:r>
              <w:rPr>
                <w:rFonts w:ascii="Arial" w:cs="Arial" w:eastAsia="Arial" w:hAnsi="Arial"/>
                <w:b/>
                <w:bCs/>
                <w:color w:val="FFFFFF"/>
                <w:sz w:val="20"/>
                <w:szCs w:val="20"/>
              </w:rPr>
              <w:t xml:space="preserve">Mô tả</w:t>
            </w:r>
          </w:p>
        </w:tc>
        <w:tc>
          <w:tcPr>
            <w:tcW w:type="dxa" w:w="1400"/>
            <w:tcBorders>
              <w:top w:val="single" w:color="BFBFBF" w:sz="4"/>
              <w:left w:val="single" w:color="BFBFBF" w:sz="4"/>
              <w:bottom w:val="single" w:color="BFBFBF" w:sz="4"/>
              <w:right w:val="single" w:color="BFBFBF" w:sz="4"/>
            </w:tcBorders>
            <w:shd w:fill="1F3A8A" w:color="auto" w:val="clear"/>
            <w:tcMar>
              <w:top w:type="dxa" w:w="60"/>
              <w:left w:type="dxa" w:w="100"/>
              <w:bottom w:type="dxa" w:w="60"/>
              <w:right w:type="dxa" w:w="100"/>
            </w:tcMar>
          </w:tcPr>
          <w:p>
            <w:r>
              <w:rPr>
                <w:rFonts w:ascii="Arial" w:cs="Arial" w:eastAsia="Arial" w:hAnsi="Arial"/>
                <w:b/>
                <w:bCs/>
                <w:color w:val="FFFFFF"/>
                <w:sz w:val="20"/>
                <w:szCs w:val="20"/>
              </w:rPr>
              <w:t xml:space="preserve">Ưu tiên</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FR-01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Chọn giao dịch</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Hiển thị danh sách giao dịch đủ điều kiện hoàn tiền.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Cao</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FR-02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Chọn lý do</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Cho chọn lý do từ danh mục và nhập ghi chú thêm.</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Cao</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FR-03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Gửi yêu cầu</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Sinh mã yêu cầu duy nhất và lưu vào hệ thống.</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Cao</w:t>
            </w:r>
          </w:p>
        </w:tc>
      </w:tr>
    </w:tbl>
    <w:p>
      <w:pPr>
        <w:pStyle w:val="Heading2"/>
      </w:pPr>
      <w:r>
        <w:t xml:space="preserve">4.2 Xử lý hoàn tiền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838"/>
        <w:gridCol w:w="1400"/>
      </w:tblGrid>
      <w:tr>
        <w:trPr>
          <w:tblHeader/>
        </w:trPr>
        <w:tc>
          <w:tcPr>
            <w:tcW w:type="dxa" w:w="1100"/>
            <w:tcBorders>
              <w:top w:val="single" w:color="BFBFBF" w:sz="4"/>
              <w:left w:val="single" w:color="BFBFBF" w:sz="4"/>
              <w:bottom w:val="single" w:color="BFBFBF" w:sz="4"/>
              <w:right w:val="single" w:color="BFBFBF" w:sz="4"/>
            </w:tcBorders>
            <w:shd w:fill="1F3A8A" w:color="auto" w:val="clear"/>
            <w:tcMar>
              <w:top w:type="dxa" w:w="60"/>
              <w:left w:type="dxa" w:w="100"/>
              <w:bottom w:type="dxa" w:w="60"/>
              <w:right w:type="dxa" w:w="100"/>
            </w:tcMar>
          </w:tcPr>
          <w:p>
            <w:r>
              <w:rPr>
                <w:rFonts w:ascii="Arial" w:cs="Arial" w:eastAsia="Arial" w:hAnsi="Arial"/>
                <w:b/>
                <w:bCs/>
                <w:color w:val="FFFFFF"/>
                <w:sz w:val="20"/>
                <w:szCs w:val="20"/>
              </w:rPr>
              <w:t xml:space="preserve">Mã</w:t>
            </w:r>
          </w:p>
        </w:tc>
        <w:tc>
          <w:tcPr>
            <w:tcW w:type="dxa" w:w="3300"/>
            <w:tcBorders>
              <w:top w:val="single" w:color="BFBFBF" w:sz="4"/>
              <w:left w:val="single" w:color="BFBFBF" w:sz="4"/>
              <w:bottom w:val="single" w:color="BFBFBF" w:sz="4"/>
              <w:right w:val="single" w:color="BFBFBF" w:sz="4"/>
            </w:tcBorders>
            <w:shd w:fill="1F3A8A" w:color="auto" w:val="clear"/>
            <w:tcMar>
              <w:top w:type="dxa" w:w="60"/>
              <w:left w:type="dxa" w:w="100"/>
              <w:bottom w:type="dxa" w:w="60"/>
              <w:right w:type="dxa" w:w="100"/>
            </w:tcMar>
          </w:tcPr>
          <w:p>
            <w:r>
              <w:rPr>
                <w:rFonts w:ascii="Arial" w:cs="Arial" w:eastAsia="Arial" w:hAnsi="Arial"/>
                <w:b/>
                <w:bCs/>
                <w:color w:val="FFFFFF"/>
                <w:sz w:val="20"/>
                <w:szCs w:val="20"/>
              </w:rPr>
              <w:t xml:space="preserve">Yêu cầu</w:t>
            </w:r>
          </w:p>
        </w:tc>
        <w:tc>
          <w:tcPr>
            <w:tcW w:type="dxa" w:w="3838"/>
            <w:tcBorders>
              <w:top w:val="single" w:color="BFBFBF" w:sz="4"/>
              <w:left w:val="single" w:color="BFBFBF" w:sz="4"/>
              <w:bottom w:val="single" w:color="BFBFBF" w:sz="4"/>
              <w:right w:val="single" w:color="BFBFBF" w:sz="4"/>
            </w:tcBorders>
            <w:shd w:fill="1F3A8A" w:color="auto" w:val="clear"/>
            <w:tcMar>
              <w:top w:type="dxa" w:w="60"/>
              <w:left w:type="dxa" w:w="100"/>
              <w:bottom w:type="dxa" w:w="60"/>
              <w:right w:type="dxa" w:w="100"/>
            </w:tcMar>
          </w:tcPr>
          <w:p>
            <w:r>
              <w:rPr>
                <w:rFonts w:ascii="Arial" w:cs="Arial" w:eastAsia="Arial" w:hAnsi="Arial"/>
                <w:b/>
                <w:bCs/>
                <w:color w:val="FFFFFF"/>
                <w:sz w:val="20"/>
                <w:szCs w:val="20"/>
              </w:rPr>
              <w:t xml:space="preserve">Mô tả</w:t>
            </w:r>
          </w:p>
        </w:tc>
        <w:tc>
          <w:tcPr>
            <w:tcW w:type="dxa" w:w="1400"/>
            <w:tcBorders>
              <w:top w:val="single" w:color="BFBFBF" w:sz="4"/>
              <w:left w:val="single" w:color="BFBFBF" w:sz="4"/>
              <w:bottom w:val="single" w:color="BFBFBF" w:sz="4"/>
              <w:right w:val="single" w:color="BFBFBF" w:sz="4"/>
            </w:tcBorders>
            <w:shd w:fill="1F3A8A" w:color="auto" w:val="clear"/>
            <w:tcMar>
              <w:top w:type="dxa" w:w="60"/>
              <w:left w:type="dxa" w:w="100"/>
              <w:bottom w:type="dxa" w:w="60"/>
              <w:right w:type="dxa" w:w="100"/>
            </w:tcMar>
          </w:tcPr>
          <w:p>
            <w:r>
              <w:rPr>
                <w:rFonts w:ascii="Arial" w:cs="Arial" w:eastAsia="Arial" w:hAnsi="Arial"/>
                <w:b/>
                <w:bCs/>
                <w:color w:val="FFFFFF"/>
                <w:sz w:val="20"/>
                <w:szCs w:val="20"/>
              </w:rPr>
              <w:t xml:space="preserve">Ưu tiên</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FR-04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Kiểm tra điều kiện</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Đối chiếu giao dịch gốc, thời hạn và số tiền.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Cao</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FR-05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Duyệt tự động</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Tự duyệt yêu cầu hợp lệ dưới hạn mức.</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Trung bình</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FR-06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Ghi có vào ví</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Cộng tiền vào ví, ghi lịch sử giao dịch hoàn tiền.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Cao</w:t>
            </w:r>
          </w:p>
        </w:tc>
      </w:tr>
    </w:tbl>
    <w:p>
      <w:pPr>
        <w:pStyle w:val="Heading2"/>
      </w:pPr>
      <w:r>
        <w:t xml:space="preserve">4.3 Thông báo kết quả</w:t>
      </w:r>
    </w:p>
    <w:p>
      <w:pPr>
        <w:spacing w:after="120" w:line="300"/>
      </w:pPr>
      <w:r>
        <w:rPr>
          <w:rFonts w:ascii="Arial" w:cs="Arial" w:eastAsia="Arial" w:hAnsi="Arial"/>
          <w:sz w:val="22"/>
          <w:szCs w:val="22"/>
        </w:rPr>
        <w:t xml:space="preserve">Hệ thống gửi thông báo cho người dùng khi yêu cầu được tiếp nhận, được duyệt, bị từ chối hoặc đã hoàn tiền xong (FR-07). Nội dung thông báo ghi rõ mã yêu cầu, số tiền và thời gian dự kiến.</w:t>
      </w:r>
    </w:p>
    <w:p>
      <w:pPr>
        <w:pStyle w:val="Heading1"/>
        <w:pageBreakBefore/>
      </w:pPr>
      <w:r>
        <w:t xml:space="preserve">5. Quy định và giới hạn</w:t>
      </w:r>
    </w:p>
    <w:p>
      <w:pPr>
        <w:pStyle w:val="Heading2"/>
      </w:pPr>
      <w:r>
        <w:t xml:space="preserve">5.1 Giới hạn số tiền hoàn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BFBFBF" w:sz="4"/>
              <w:left w:val="single" w:color="BFBFBF" w:sz="4"/>
              <w:bottom w:val="single" w:color="BFBFBF" w:sz="4"/>
              <w:right w:val="single" w:color="BFBFBF" w:sz="4"/>
            </w:tcBorders>
            <w:shd w:fill="1F3A8A" w:color="auto" w:val="clear"/>
            <w:tcMar>
              <w:top w:type="dxa" w:w="60"/>
              <w:left w:type="dxa" w:w="100"/>
              <w:bottom w:type="dxa" w:w="60"/>
              <w:right w:type="dxa" w:w="100"/>
            </w:tcMar>
          </w:tcPr>
          <w:p>
            <w:r>
              <w:rPr>
                <w:rFonts w:ascii="Arial" w:cs="Arial" w:eastAsia="Arial" w:hAnsi="Arial"/>
                <w:b/>
                <w:bCs/>
                <w:color w:val="FFFFFF"/>
                <w:sz w:val="20"/>
                <w:szCs w:val="20"/>
              </w:rPr>
              <w:t xml:space="preserve">Nội dung</w:t>
            </w:r>
          </w:p>
        </w:tc>
        <w:tc>
          <w:tcPr>
            <w:tcW w:type="dxa" w:w="5638"/>
            <w:tcBorders>
              <w:top w:val="single" w:color="BFBFBF" w:sz="4"/>
              <w:left w:val="single" w:color="BFBFBF" w:sz="4"/>
              <w:bottom w:val="single" w:color="BFBFBF" w:sz="4"/>
              <w:right w:val="single" w:color="BFBFBF" w:sz="4"/>
            </w:tcBorders>
            <w:shd w:fill="1F3A8A" w:color="auto" w:val="clear"/>
            <w:tcMar>
              <w:top w:type="dxa" w:w="60"/>
              <w:left w:type="dxa" w:w="100"/>
              <w:bottom w:type="dxa" w:w="60"/>
              <w:right w:type="dxa" w:w="100"/>
            </w:tcMar>
          </w:tcPr>
          <w:p>
            <w:r>
              <w:rPr>
                <w:rFonts w:ascii="Arial" w:cs="Arial" w:eastAsia="Arial" w:hAnsi="Arial"/>
                <w:b/>
                <w:bCs/>
                <w:color w:val="FFFFFF"/>
                <w:sz w:val="20"/>
                <w:szCs w:val="20"/>
              </w:rPr>
              <w:t xml:space="preserve">Giới hạn</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Số tiền hoàn tối đa mỗi giao dịch</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Bằng số tiền giao dịch gốc</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Số yêu cầu hoàn tiền mỗi ngày</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Tối đa 5 yêu cầu mỗi người dùng</w:t>
            </w:r>
          </w:p>
        </w:tc>
      </w:tr>
      <w:tr>
        <w:trPr>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Hạn mức duyệt tự động</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Dưới 500.000đ mỗi yêu cầu</w:t>
            </w:r>
          </w:p>
        </w:tc>
      </w:tr>
    </w:tbl>
    <w:p>
      <w:pPr>
        <w:spacing w:after="120"/>
      </w:pPr>
    </w:p>
    <w:p>
      <w:pPr>
        <w:pStyle w:val="Heading2"/>
      </w:pPr>
      <w:r>
        <w:t xml:space="preserve">5.2 Thời gian xử lý</w:t>
      </w:r>
    </w:p>
    <w:p>
      <w:pPr>
        <w:pStyle w:val="ListParagraph"/>
        <w:numPr>
          <w:ilvl w:val="0"/>
          <w:numId w:val="2"/>
        </w:numPr>
        <w:spacing w:after="80" w:line="300"/>
      </w:pPr>
      <w:r>
        <w:rPr>
          <w:rFonts w:ascii="Arial" w:cs="Arial" w:eastAsia="Arial" w:hAnsi="Arial"/>
          <w:sz w:val="22"/>
          <w:szCs w:val="22"/>
        </w:rPr>
        <w:t xml:space="preserve">Duyệt tự động: trong vòng 5 phút.</w:t>
      </w:r>
    </w:p>
    <w:p>
      <w:pPr>
        <w:pStyle w:val="ListParagraph"/>
        <w:numPr>
          <w:ilvl w:val="0"/>
          <w:numId w:val="2"/>
        </w:numPr>
        <w:spacing w:after="80" w:line="300"/>
      </w:pPr>
      <w:r>
        <w:rPr>
          <w:rFonts w:ascii="Arial" w:cs="Arial" w:eastAsia="Arial" w:hAnsi="Arial"/>
          <w:sz w:val="22"/>
          <w:szCs w:val="22"/>
        </w:rPr>
        <w:t xml:space="preserve">Duyệt thủ công: trong vòng 1 ngày làm việc.</w:t>
      </w:r>
    </w:p>
    <w:p>
      <w:pPr>
        <w:pStyle w:val="ListParagraph"/>
        <w:numPr>
          <w:ilvl w:val="0"/>
          <w:numId w:val="2"/>
        </w:numPr>
        <w:spacing w:after="80" w:line="300"/>
      </w:pPr>
      <w:r>
        <w:rPr>
          <w:rFonts w:ascii="Arial" w:cs="Arial" w:eastAsia="Arial" w:hAnsi="Arial"/>
          <w:sz w:val="22"/>
          <w:szCs w:val="22"/>
        </w:rPr>
        <w:t xml:space="preserve">Hoàn về ví PayKX: ngay sau khi được duyệt.</w:t>
      </w:r>
    </w:p>
    <w:p>
      <w:pPr>
        <w:pStyle w:val="Heading1"/>
      </w:pPr>
      <w:r>
        <w:t xml:space="preserve">6. Thông báo và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4038"/>
      </w:tblGrid>
      <w:tr>
        <w:trPr>
          <w:tblHeader/>
        </w:trPr>
        <w:tc>
          <w:tcPr>
            <w:tcW w:type="dxa" w:w="1700"/>
            <w:tcBorders>
              <w:top w:val="single" w:color="BFBFBF" w:sz="4"/>
              <w:left w:val="single" w:color="BFBFBF" w:sz="4"/>
              <w:bottom w:val="single" w:color="BFBFBF" w:sz="4"/>
              <w:right w:val="single" w:color="BFBFBF" w:sz="4"/>
            </w:tcBorders>
            <w:shd w:fill="1F3A8A" w:color="auto" w:val="clear"/>
            <w:tcMar>
              <w:top w:type="dxa" w:w="60"/>
              <w:left w:type="dxa" w:w="100"/>
              <w:bottom w:type="dxa" w:w="60"/>
              <w:right w:type="dxa" w:w="100"/>
            </w:tcMar>
          </w:tcPr>
          <w:p>
            <w:r>
              <w:rPr>
                <w:rFonts w:ascii="Arial" w:cs="Arial" w:eastAsia="Arial" w:hAnsi="Arial"/>
                <w:b/>
                <w:bCs/>
                <w:color w:val="FFFFFF"/>
                <w:sz w:val="20"/>
                <w:szCs w:val="20"/>
              </w:rPr>
              <w:t xml:space="preserve">Mã lỗi</w:t>
            </w:r>
          </w:p>
        </w:tc>
        <w:tc>
          <w:tcPr>
            <w:tcW w:type="dxa" w:w="3900"/>
            <w:tcBorders>
              <w:top w:val="single" w:color="BFBFBF" w:sz="4"/>
              <w:left w:val="single" w:color="BFBFBF" w:sz="4"/>
              <w:bottom w:val="single" w:color="BFBFBF" w:sz="4"/>
              <w:right w:val="single" w:color="BFBFBF" w:sz="4"/>
            </w:tcBorders>
            <w:shd w:fill="1F3A8A" w:color="auto" w:val="clear"/>
            <w:tcMar>
              <w:top w:type="dxa" w:w="60"/>
              <w:left w:type="dxa" w:w="100"/>
              <w:bottom w:type="dxa" w:w="60"/>
              <w:right w:type="dxa" w:w="100"/>
            </w:tcMar>
          </w:tcPr>
          <w:p>
            <w:r>
              <w:rPr>
                <w:rFonts w:ascii="Arial" w:cs="Arial" w:eastAsia="Arial" w:hAnsi="Arial"/>
                <w:b/>
                <w:bCs/>
                <w:color w:val="FFFFFF"/>
                <w:sz w:val="20"/>
                <w:szCs w:val="20"/>
              </w:rPr>
              <w:t xml:space="preserve">Tình huống</w:t>
            </w:r>
          </w:p>
        </w:tc>
        <w:tc>
          <w:tcPr>
            <w:tcW w:type="dxa" w:w="4038"/>
            <w:tcBorders>
              <w:top w:val="single" w:color="BFBFBF" w:sz="4"/>
              <w:left w:val="single" w:color="BFBFBF" w:sz="4"/>
              <w:bottom w:val="single" w:color="BFBFBF" w:sz="4"/>
              <w:right w:val="single" w:color="BFBFBF" w:sz="4"/>
            </w:tcBorders>
            <w:shd w:fill="1F3A8A" w:color="auto" w:val="clear"/>
            <w:tcMar>
              <w:top w:type="dxa" w:w="60"/>
              <w:left w:type="dxa" w:w="100"/>
              <w:bottom w:type="dxa" w:w="60"/>
              <w:right w:type="dxa" w:w="100"/>
            </w:tcMar>
          </w:tcPr>
          <w:p>
            <w:r>
              <w:rPr>
                <w:rFonts w:ascii="Arial" w:cs="Arial" w:eastAsia="Arial" w:hAnsi="Arial"/>
                <w:b/>
                <w:bCs/>
                <w:color w:val="FFFFFF"/>
                <w:sz w:val="20"/>
                <w:szCs w:val="20"/>
              </w:rPr>
              <w:t xml:space="preserve">Thông báo cho người dùng</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RF-001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Giao dịch đã được hoàn tiền</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Giao dịch này đã được hoàn tiền trước đó.</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RF-002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Quá thời hạn hoàn tiền</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Giao dịch đã quá thời hạn được hoàn tiền.</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RF-003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Ví bị khóa</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Ví của bạn đang bị khóa, vui lòng liên hệ hỗ trợ.</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RF-004</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Lỗi hệ thống</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Có lỗi xảy ra, vui lòng thử lại sau.</w:t>
            </w:r>
          </w:p>
        </w:tc>
      </w:tr>
    </w:tbl>
    <w:p>
      <w:pPr>
        <w:pStyle w:val="Heading1"/>
        <w:pageBreakBefore/>
      </w:pPr>
      <w:r>
        <w:t xml:space="preserve">7. Phụ lục</w:t>
      </w:r>
    </w:p>
    <w:p>
      <w:pPr>
        <w:spacing w:after="120" w:line="300"/>
      </w:pPr>
      <w:r>
        <w:rPr>
          <w:rFonts w:ascii="Arial" w:cs="Arial" w:eastAsia="Arial" w:hAnsi="Arial"/>
          <w:sz w:val="22"/>
          <w:szCs w:val="22"/>
        </w:rPr>
        <w:t xml:space="preserve">Thuật ngữ sử dụng trong tài liệu:</w:t>
      </w:r>
    </w:p>
    <w:p>
      <w:pPr>
        <w:pStyle w:val="ListParagraph"/>
        <w:numPr>
          <w:ilvl w:val="0"/>
          <w:numId w:val="2"/>
        </w:numPr>
        <w:spacing w:after="80" w:line="300"/>
      </w:pPr>
      <w:r>
        <w:rPr>
          <w:rFonts w:ascii="Arial" w:cs="Arial" w:eastAsia="Arial" w:hAnsi="Arial"/>
          <w:sz w:val="22"/>
          <w:szCs w:val="22"/>
        </w:rPr>
        <w:t xml:space="preserve">SRS: tài liệu đặc tả yêu cầu phần mềm.</w:t>
      </w:r>
    </w:p>
    <w:p>
      <w:pPr>
        <w:pStyle w:val="ListParagraph"/>
        <w:numPr>
          <w:ilvl w:val="0"/>
          <w:numId w:val="2"/>
        </w:numPr>
        <w:spacing w:after="80" w:line="300"/>
      </w:pPr>
      <w:r>
        <w:rPr>
          <w:rFonts w:ascii="Arial" w:cs="Arial" w:eastAsia="Arial" w:hAnsi="Arial"/>
          <w:sz w:val="22"/>
          <w:szCs w:val="22"/>
        </w:rPr>
        <w:t xml:space="preserve">FR: yêu cầu chức năng.</w:t>
      </w:r>
    </w:p>
    <w:p>
      <w:pPr>
        <w:pStyle w:val="ListParagraph"/>
        <w:numPr>
          <w:ilvl w:val="0"/>
          <w:numId w:val="2"/>
        </w:numPr>
        <w:spacing w:after="80" w:line="300"/>
      </w:pPr>
      <w:r>
        <w:rPr>
          <w:rFonts w:ascii="Arial" w:cs="Arial" w:eastAsia="Arial" w:hAnsi="Arial"/>
          <w:sz w:val="22"/>
          <w:szCs w:val="22"/>
        </w:rPr>
        <w:t xml:space="preserve">Ví PayKX: ví điện tử dành cho sinh viên.</w:t>
      </w:r>
    </w:p>
    <w:p>
      <w:pPr>
        <w:spacing w:after="120" w:line="300"/>
      </w:pPr>
      <w:r>
        <w:rPr>
          <w:rFonts w:ascii="Arial" w:cs="Arial" w:eastAsia="Arial" w:hAnsi="Arial"/>
          <w:sz w:val="22"/>
          <w:szCs w:val="22"/>
        </w:rPr>
        <w:t xml:space="preserve">Liên hệ hỗ trợ: support@paykx.vn  |  Website: paykx.vn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PayKX – paykx.vn      Trang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A8A"/>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2563E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2026-10-26T08:55:53.721Z</dcterms:created>
  <dcterms:modified xsi:type="dcterms:W3CDTF">2026-10-26T08:55:53.731Z</dcterms:modified>
</cp:coreProperties>
</file>

<file path=docProps/custom.xml><?xml version="1.0" encoding="utf-8"?>
<Properties xmlns="http://schemas.openxmlformats.org/officeDocument/2006/custom-properties" xmlns:vt="http://schemas.openxmlformats.org/officeDocument/2006/docPropsVTypes"/>
</file>