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2E74B5"/>
          <w:sz w:val="22"/>
        </w:rPr>
        <w:t>MIROIR</w:t>
      </w:r>
    </w:p>
    <w:p>
      <w:pPr>
        <w:spacing w:before="0" w:after="80"/>
      </w:pPr>
      <w:r>
        <w:rPr>
          <w:rFonts w:ascii="Calibri" w:hAnsi="Calibri"/>
          <w:b/>
          <w:color w:val="192028"/>
          <w:sz w:val="46"/>
        </w:rPr>
        <w:t>TÓM TẮT CHI PHÍ VẬN HÀNH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5B6571"/>
          <w:sz w:val="26"/>
        </w:rPr>
        <w:t>Mô hình B2B-funded — người dùng cuối không trả phí; chi phí được tính theo MAU</w:t>
      </w:r>
    </w:p>
    <w:p>
      <w:pPr>
        <w:spacing w:before="0" w:after="40" w:line="240" w:lineRule="auto"/>
      </w:pPr>
      <w:r>
        <w:rPr>
          <w:rFonts w:ascii="Calibri" w:hAnsi="Calibri"/>
          <w:b/>
          <w:color w:val="1F4D78"/>
          <w:sz w:val="19"/>
        </w:rPr>
        <w:t xml:space="preserve">Cập nhật: </w:t>
      </w:r>
      <w:r>
        <w:rPr>
          <w:rFonts w:ascii="Calibri" w:hAnsi="Calibri"/>
          <w:color w:val="192028"/>
          <w:sz w:val="19"/>
        </w:rPr>
        <w:t>03/08/2026 • Asia/Ho_Chi_Minh</w:t>
      </w:r>
    </w:p>
    <w:p>
      <w:pPr>
        <w:spacing w:before="0" w:after="40" w:line="240" w:lineRule="auto"/>
      </w:pPr>
      <w:r>
        <w:rPr>
          <w:rFonts w:ascii="Calibri" w:hAnsi="Calibri"/>
          <w:b/>
          <w:color w:val="1F4D78"/>
          <w:sz w:val="19"/>
        </w:rPr>
        <w:t xml:space="preserve">Tỷ giá kế hoạch: </w:t>
      </w:r>
      <w:r>
        <w:rPr>
          <w:rFonts w:ascii="Calibri" w:hAnsi="Calibri"/>
          <w:color w:val="192028"/>
          <w:sz w:val="19"/>
        </w:rPr>
        <w:t>1 USD = 26.500 VND (làm tròn; không phải tỷ giá ngân hàng cam kết)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92028"/>
          <w:sz w:val="19"/>
        </w:rPr>
        <w:t>Phạm vi:</w:t>
      </w:r>
      <w:r>
        <w:rPr>
          <w:rFonts w:ascii="Calibri" w:hAnsi="Calibri"/>
          <w:b w:val="0"/>
          <w:i w:val="0"/>
          <w:color w:val="192028"/>
          <w:sz w:val="19"/>
        </w:rPr>
        <w:t xml:space="preserve"> Chi phí dịch vụ trực tiếp cho mô hình B2B-funded trên web, mobile và backend</w:t>
      </w:r>
    </w:p>
    <w:p>
      <w:pPr>
        <w:spacing w:before="0" w:after="40" w:line="240" w:lineRule="auto"/>
      </w:pPr>
      <w:r>
        <w:rPr>
          <w:rFonts w:ascii="Calibri" w:hAnsi="Calibri"/>
          <w:b/>
          <w:color w:val="1F4D78"/>
          <w:sz w:val="19"/>
        </w:rPr>
        <w:t xml:space="preserve">Không gồm: </w:t>
      </w:r>
      <w:r>
        <w:rPr>
          <w:rFonts w:ascii="Calibri" w:hAnsi="Calibri"/>
          <w:color w:val="192028"/>
          <w:sz w:val="19"/>
        </w:rPr>
        <w:t>Nhân sự, marketing, pháp lý, kế toán, thuế doanh nghiệp và domain chưa có quote</w:t>
      </w:r>
    </w:p>
    <w:p>
      <w:pPr>
        <w:spacing w:before="80" w:after="160"/>
        <w:pBdr>
          <w:bottom w:val="single" w:sz="14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CC"/>
            <w:tcBorders>
              <w:top w:val="single" w:sz="6" w:color="D7C56D"/>
              <w:left w:val="single" w:sz="6" w:color="D7C56D"/>
              <w:bottom w:val="single" w:sz="6" w:color="D7C56D"/>
              <w:right w:val="single" w:sz="6" w:color="D7C56D"/>
              <w:insideH w:val="single" w:sz="6" w:color="D7C56D"/>
              <w:insideV w:val="single" w:sz="6" w:color="D7C56D"/>
            </w:tcBorders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92028"/>
                <w:sz w:val="20"/>
              </w:rPr>
              <w:t>KẾT LUẬN ĐIỀU HÀNH.</w:t>
            </w:r>
            <w:r>
              <w:rPr>
                <w:rFonts w:ascii="Calibri" w:hAnsi="Calibri"/>
                <w:b w:val="0"/>
                <w:i w:val="0"/>
                <w:color w:val="192028"/>
                <w:sz w:val="20"/>
              </w:rPr>
              <w:t xml:space="preserve"> Với 5 try-on + 10 AI Stylist/MAU/tháng, supplier budget +10% tăng từ khoảng 2,88 triệu/tháng ở 100 MAU lên 1,76 tỷ ở 100.000 MAU. Người dùng cuối không trả phí nên toàn bộ chi phí phải được bù từ B2B.</w:t>
            </w:r>
          </w:p>
        </w:tc>
      </w:tr>
    </w:tbl>
    <w:p>
      <w:pPr>
        <w:pStyle w:val="Heading1"/>
        <w:keepNext/>
      </w:pPr>
      <w:r>
        <w:t>1. Ngân sách theo quy mô người dùng</w:t>
      </w:r>
    </w:p>
    <w:p>
      <w:pPr>
        <w:spacing w:after="120"/>
      </w:pPr>
      <w:r>
        <w:rPr>
          <w:rFonts w:ascii="Calibri" w:hAnsi="Calibri"/>
          <w:b w:val="0"/>
          <w:i w:val="0"/>
          <w:color w:val="5B6571"/>
          <w:sz w:val="19"/>
        </w:rPr>
        <w:t>Kịch bản cơ sở B2B: 100% người dùng cuối không trả phí; mỗi MAU dùng trung bình 5 try-on và 10 AI Stylist requests/tháng.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50"/>
        <w:gridCol w:w="1150"/>
        <w:gridCol w:w="1150"/>
        <w:gridCol w:w="1100"/>
        <w:gridCol w:w="1550"/>
        <w:gridCol w:w="1800"/>
        <w:gridCol w:w="1660"/>
      </w:tblGrid>
      <w:tr>
        <w:trPr>
          <w:tblHeader w:val="true"/>
          <w:cantSplit/>
          <w:tblHeader w:val="true"/>
        </w:trPr>
        <w:tc>
          <w:tcPr>
            <w:tcW w:type="dxa" w:w="9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MAU</w:t>
            </w:r>
          </w:p>
        </w:tc>
        <w:tc>
          <w:tcPr>
            <w:tcW w:type="dxa" w:w="11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Try-on / tháng</w:t>
            </w:r>
          </w:p>
        </w:tc>
        <w:tc>
          <w:tcPr>
            <w:tcW w:type="dxa" w:w="11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Stylist / tháng</w:t>
            </w:r>
          </w:p>
        </w:tc>
        <w:tc>
          <w:tcPr>
            <w:tcW w:type="dxa" w:w="110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Tổng USD</w:t>
            </w:r>
          </w:p>
        </w:tc>
        <w:tc>
          <w:tcPr>
            <w:tcW w:type="dxa" w:w="15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Tổng VND</w:t>
            </w:r>
          </w:p>
        </w:tc>
        <w:tc>
          <w:tcPr>
            <w:tcW w:type="dxa" w:w="180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Budget +10%</w:t>
            </w:r>
          </w:p>
        </w:tc>
        <w:tc>
          <w:tcPr>
            <w:tcW w:type="dxa" w:w="166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Budget / MAU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100</w:t>
            </w:r>
          </w:p>
        </w:tc>
        <w:tc>
          <w:tcPr>
            <w:tcW w:type="dxa" w:w="11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500</w:t>
            </w:r>
          </w:p>
        </w:tc>
        <w:tc>
          <w:tcPr>
            <w:tcW w:type="dxa" w:w="11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1.000</w:t>
            </w:r>
          </w:p>
        </w:tc>
        <w:tc>
          <w:tcPr>
            <w:tcW w:type="dxa" w:w="11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$98,66</w:t>
            </w:r>
          </w:p>
        </w:tc>
        <w:tc>
          <w:tcPr>
            <w:tcW w:type="dxa" w:w="15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2.614.358đ</w:t>
            </w:r>
          </w:p>
        </w:tc>
        <w:tc>
          <w:tcPr>
            <w:tcW w:type="dxa" w:w="18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2.875.793đ</w:t>
            </w:r>
          </w:p>
        </w:tc>
        <w:tc>
          <w:tcPr>
            <w:tcW w:type="dxa" w:w="166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28.758đ</w:t>
            </w:r>
          </w:p>
        </w:tc>
      </w:tr>
      <w:tr>
        <w:trPr>
          <w:cantSplit/>
        </w:trPr>
        <w:tc>
          <w:tcPr>
            <w:tcW w:type="dxa" w:w="9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1.000</w:t>
            </w:r>
          </w:p>
        </w:tc>
        <w:tc>
          <w:tcPr>
            <w:tcW w:type="dxa" w:w="11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5.000</w:t>
            </w:r>
          </w:p>
        </w:tc>
        <w:tc>
          <w:tcPr>
            <w:tcW w:type="dxa" w:w="11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10.000</w:t>
            </w:r>
          </w:p>
        </w:tc>
        <w:tc>
          <w:tcPr>
            <w:tcW w:type="dxa" w:w="11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$621,55</w:t>
            </w:r>
          </w:p>
        </w:tc>
        <w:tc>
          <w:tcPr>
            <w:tcW w:type="dxa" w:w="15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16.471.075đ</w:t>
            </w:r>
          </w:p>
        </w:tc>
        <w:tc>
          <w:tcPr>
            <w:tcW w:type="dxa" w:w="18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18.118.183đ</w:t>
            </w:r>
          </w:p>
        </w:tc>
        <w:tc>
          <w:tcPr>
            <w:tcW w:type="dxa" w:w="166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18.118đ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10.000</w:t>
            </w:r>
          </w:p>
        </w:tc>
        <w:tc>
          <w:tcPr>
            <w:tcW w:type="dxa" w:w="11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50.000</w:t>
            </w:r>
          </w:p>
        </w:tc>
        <w:tc>
          <w:tcPr>
            <w:tcW w:type="dxa" w:w="11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100.000</w:t>
            </w:r>
          </w:p>
        </w:tc>
        <w:tc>
          <w:tcPr>
            <w:tcW w:type="dxa" w:w="11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$6.119,50</w:t>
            </w:r>
          </w:p>
        </w:tc>
        <w:tc>
          <w:tcPr>
            <w:tcW w:type="dxa" w:w="15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162.166.750đ</w:t>
            </w:r>
          </w:p>
        </w:tc>
        <w:tc>
          <w:tcPr>
            <w:tcW w:type="dxa" w:w="18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178.383.425đ</w:t>
            </w:r>
          </w:p>
        </w:tc>
        <w:tc>
          <w:tcPr>
            <w:tcW w:type="dxa" w:w="166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17.838đ</w:t>
            </w:r>
          </w:p>
        </w:tc>
      </w:tr>
      <w:tr>
        <w:trPr>
          <w:cantSplit/>
        </w:trPr>
        <w:tc>
          <w:tcPr>
            <w:tcW w:type="dxa" w:w="9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100.000</w:t>
            </w:r>
          </w:p>
        </w:tc>
        <w:tc>
          <w:tcPr>
            <w:tcW w:type="dxa" w:w="11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500.000</w:t>
            </w:r>
          </w:p>
        </w:tc>
        <w:tc>
          <w:tcPr>
            <w:tcW w:type="dxa" w:w="11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1.000.000</w:t>
            </w:r>
          </w:p>
        </w:tc>
        <w:tc>
          <w:tcPr>
            <w:tcW w:type="dxa" w:w="11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$60.387,00</w:t>
            </w:r>
          </w:p>
        </w:tc>
        <w:tc>
          <w:tcPr>
            <w:tcW w:type="dxa" w:w="15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1.600.255.500đ</w:t>
            </w:r>
          </w:p>
        </w:tc>
        <w:tc>
          <w:tcPr>
            <w:tcW w:type="dxa" w:w="18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1.760.281.050đ</w:t>
            </w:r>
          </w:p>
        </w:tc>
        <w:tc>
          <w:tcPr>
            <w:tcW w:type="dxa" w:w="166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7"/>
              </w:rPr>
              <w:t>17.603đ</w:t>
            </w:r>
          </w:p>
        </w:tc>
      </w:tr>
    </w:tbl>
    <w:p>
      <w:pPr>
        <w:spacing w:before="60" w:after="100"/>
      </w:pPr>
      <w:r>
        <w:rPr>
          <w:rFonts w:ascii="Calibri" w:hAnsi="Calibri"/>
          <w:i/>
          <w:color w:val="5B6571"/>
          <w:sz w:val="17"/>
        </w:rPr>
        <w:t>Budget +10% là quỹ dự phòng vận hành (tỷ giá, retry, token lệch và overage nhỏ), không phải thuế pháp định.</w:t>
      </w:r>
    </w:p>
    <w:p>
      <w:pPr>
        <w:pStyle w:val="Heading2"/>
        <w:keepNext/>
      </w:pPr>
      <w:r>
        <w:t>Điểm cần nhớ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i w:val="0"/>
          <w:color w:val="192028"/>
          <w:sz w:val="20"/>
        </w:rPr>
        <w:t>Với batchSize = 1,</w:t>
      </w:r>
      <w:r>
        <w:rPr>
          <w:rFonts w:ascii="Calibri" w:hAnsi="Calibri"/>
          <w:b w:val="0"/>
          <w:i w:val="0"/>
          <w:color w:val="192028"/>
          <w:sz w:val="20"/>
        </w:rPr>
        <w:t xml:space="preserve"> nếu trung bình mỗi MAU tăng thêm 1 ảnh try-on/tháng thì riêng chi phí PiAPI tăng khoảng 1.855đ × MAU/tháng.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i w:val="0"/>
          <w:color w:val="192028"/>
          <w:sz w:val="20"/>
        </w:rPr>
        <w:t>Chi phí bình quân/MAU</w:t>
      </w:r>
      <w:r>
        <w:rPr>
          <w:rFonts w:ascii="Calibri" w:hAnsi="Calibri"/>
          <w:b w:val="0"/>
          <w:i w:val="0"/>
          <w:color w:val="192028"/>
          <w:sz w:val="20"/>
        </w:rPr>
        <w:t xml:space="preserve"> giảm khi fixed cost được chia cho nhiều user, nhưng biến phí AI vẫn tăng gần tuyến tính theo usage.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color w:val="192028"/>
          <w:sz w:val="20"/>
        </w:rPr>
        <w:t>Các số trên là estimate</w:t>
      </w:r>
      <w:r>
        <w:rPr>
          <w:rFonts w:ascii="Calibri" w:hAnsi="Calibri"/>
          <w:color w:val="192028"/>
          <w:sz w:val="20"/>
        </w:rPr>
        <w:t xml:space="preserve"> có công thức, không phải actual: repository chưa có traffic log hoặc billing export.</w:t>
      </w:r>
    </w:p>
    <w:p>
      <w:r>
        <w:br w:type="page"/>
      </w:r>
    </w:p>
    <w:p>
      <w:pPr>
        <w:pStyle w:val="Heading1"/>
        <w:keepNext/>
      </w:pPr>
      <w:r>
        <w:t>2. Thành phần nào tốn phí và tính như thế nào</w:t>
      </w:r>
    </w:p>
    <w:p>
      <w:pPr>
        <w:spacing w:after="140"/>
      </w:pPr>
      <w:r>
        <w:rPr>
          <w:rFonts w:ascii="Calibri" w:hAnsi="Calibri"/>
          <w:color w:val="5B6571"/>
          <w:sz w:val="19"/>
        </w:rPr>
        <w:t>Giá được đối chiếu từ trang chính thức tại ngày cập nhật; link evidence nhúng trực tiếp trong cột cuối.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1750"/>
        <w:gridCol w:w="1750"/>
        <w:gridCol w:w="1900"/>
        <w:gridCol w:w="1300"/>
        <w:gridCol w:w="1610"/>
      </w:tblGrid>
      <w:tr>
        <w:trPr>
          <w:tblHeader w:val="true"/>
        </w:trPr>
        <w:tc>
          <w:tcPr>
            <w:tcW w:type="dxa" w:w="10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Thành phần</w:t>
            </w:r>
          </w:p>
        </w:tc>
        <w:tc>
          <w:tcPr>
            <w:tcW w:type="dxa" w:w="17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Dùng để làm gì</w:t>
            </w:r>
          </w:p>
        </w:tc>
        <w:tc>
          <w:tcPr>
            <w:tcW w:type="dxa" w:w="17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Tốn theo</w:t>
            </w:r>
          </w:p>
        </w:tc>
        <w:tc>
          <w:tcPr>
            <w:tcW w:type="dxa" w:w="190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Giá / cách tính</w:t>
            </w:r>
          </w:p>
        </w:tc>
        <w:tc>
          <w:tcPr>
            <w:tcW w:type="dxa" w:w="130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Dùng trong mô hình</w:t>
            </w:r>
          </w:p>
        </w:tc>
        <w:tc>
          <w:tcPr>
            <w:tcW w:type="dxa" w:w="161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PiAPI / Kling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Sinh ảnh virtual try-on từ ảnh người và quần áo.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Mỗi ảnh output; subscription mua concurrency/bonus.</w:t>
            </w:r>
          </w:p>
        </w:tc>
        <w:tc>
          <w:tcPr>
            <w:tcW w:type="dxa" w:w="19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$0,07/output; Creator $15; Pro $60; Enterprise $100.</w:t>
            </w:r>
          </w:p>
        </w:tc>
        <w:tc>
          <w:tcPr>
            <w:tcW w:type="dxa" w:w="13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1.855đ/try-on</w:t>
            </w:r>
          </w:p>
        </w:tc>
        <w:tc>
          <w:tcPr>
            <w:tcW w:type="dxa" w:w="161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13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PiAPI docs</w:t>
              </w:r>
            </w:hyperlink>
          </w:p>
        </w:tc>
      </w:tr>
      <w:tr>
        <w:trPr>
          <w:cantSplit/>
        </w:trPr>
        <w:tc>
          <w:tcPr>
            <w:tcW w:type="dxa" w:w="10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Gemini</w:t>
            </w:r>
          </w:p>
        </w:tc>
        <w:tc>
          <w:tcPr>
            <w:tcW w:type="dxa" w:w="17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AI Stylist: hiểu truy vấn và sinh gợi ý phối đồ.</w:t>
            </w:r>
          </w:p>
        </w:tc>
        <w:tc>
          <w:tcPr>
            <w:tcW w:type="dxa" w:w="17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Input/output token và embedding token/request.</w:t>
            </w:r>
          </w:p>
        </w:tc>
        <w:tc>
          <w:tcPr>
            <w:tcW w:type="dxa" w:w="19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$1,50/1M input; $9/1M output; embedding $0,15/1M.</w:t>
            </w:r>
          </w:p>
        </w:tc>
        <w:tc>
          <w:tcPr>
            <w:tcW w:type="dxa" w:w="13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~627đ/request</w:t>
            </w:r>
          </w:p>
        </w:tc>
        <w:tc>
          <w:tcPr>
            <w:tcW w:type="dxa" w:w="161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14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Gemini pricing</w:t>
              </w:r>
            </w:hyperlink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Cloudinary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Lưu và phân phối ảnh model, garment và catalog.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Credits = storage + image bandwidth + transformations.</w:t>
            </w:r>
          </w:p>
        </w:tc>
        <w:tc>
          <w:tcPr>
            <w:tcW w:type="dxa" w:w="19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Free 25; Plus $99/225; Pro $1.099/2.750 credits.</w:t>
            </w:r>
          </w:p>
        </w:tc>
        <w:tc>
          <w:tcPr>
            <w:tcW w:type="dxa" w:w="13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$0 / $0 / $99 / $1.099</w:t>
            </w:r>
          </w:p>
        </w:tc>
        <w:tc>
          <w:tcPr>
            <w:tcW w:type="dxa" w:w="161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15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Cloudinary</w:t>
              </w:r>
            </w:hyperlink>
          </w:p>
        </w:tc>
      </w:tr>
      <w:tr>
        <w:trPr>
          <w:cantSplit/>
        </w:trPr>
        <w:tc>
          <w:tcPr>
            <w:tcW w:type="dxa" w:w="10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MongoDB Atlas</w:t>
            </w:r>
          </w:p>
        </w:tc>
        <w:tc>
          <w:tcPr>
            <w:tcW w:type="dxa" w:w="17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Lưu user, sản phẩm, payment, event và vector search.</w:t>
            </w:r>
          </w:p>
        </w:tc>
        <w:tc>
          <w:tcPr>
            <w:tcW w:type="dxa" w:w="17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Cluster/tier, thời gian chạy và overage.</w:t>
            </w:r>
          </w:p>
        </w:tc>
        <w:tc>
          <w:tcPr>
            <w:tcW w:type="dxa" w:w="19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Flex $8–30; dedicated từ ~$60; M30 khoảng $388/tháng.</w:t>
            </w:r>
          </w:p>
        </w:tc>
        <w:tc>
          <w:tcPr>
            <w:tcW w:type="dxa" w:w="13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$8 / $8 / $60 / $388</w:t>
            </w:r>
          </w:p>
        </w:tc>
        <w:tc>
          <w:tcPr>
            <w:tcW w:type="dxa" w:w="161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16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Atlas billing</w:t>
              </w:r>
            </w:hyperlink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Render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Chạy backend Node API và worker khi mở rộng.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Backend instances + workspace + egress vượt quota.</w:t>
            </w:r>
          </w:p>
        </w:tc>
        <w:tc>
          <w:tcPr>
            <w:tcW w:type="dxa" w:w="19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Starter $7; Standard $25; Pro workspace $25/tháng.</w:t>
            </w:r>
          </w:p>
        </w:tc>
        <w:tc>
          <w:tcPr>
            <w:tcW w:type="dxa" w:w="13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$7 / $7 / $75 / $125</w:t>
            </w:r>
          </w:p>
        </w:tc>
        <w:tc>
          <w:tcPr>
            <w:tcW w:type="dxa" w:w="161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17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Render plans</w:t>
              </w:r>
            </w:hyperlink>
          </w:p>
        </w:tc>
      </w:tr>
      <w:tr>
        <w:trPr>
          <w:cantSplit/>
        </w:trPr>
        <w:tc>
          <w:tcPr>
            <w:tcW w:type="dxa" w:w="10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Vercel</w:t>
            </w:r>
          </w:p>
        </w:tc>
        <w:tc>
          <w:tcPr>
            <w:tcW w:type="dxa" w:w="17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Host và phân phối frontend web.</w:t>
            </w:r>
          </w:p>
        </w:tc>
        <w:tc>
          <w:tcPr>
            <w:tcW w:type="dxa" w:w="17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Pro commercial + usage vượt quota.</w:t>
            </w:r>
          </w:p>
        </w:tc>
        <w:tc>
          <w:tcPr>
            <w:tcW w:type="dxa" w:w="19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Pro $20/tháng; Hobby chỉ cho personal/non-commercial.</w:t>
            </w:r>
          </w:p>
        </w:tc>
        <w:tc>
          <w:tcPr>
            <w:tcW w:type="dxa" w:w="13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$20/tháng</w:t>
            </w:r>
          </w:p>
        </w:tc>
        <w:tc>
          <w:tcPr>
            <w:tcW w:type="dxa" w:w="161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18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Vercel</w:t>
              </w:r>
            </w:hyperlink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payOS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Thu tiền gói shop/B2B trên web.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Gateway và giao dịch web.</w:t>
            </w:r>
          </w:p>
        </w:tc>
        <w:tc>
          <w:tcPr>
            <w:tcW w:type="dxa" w:w="19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Công bố miễn phí khởi tạo, duy trì và giao dịch.</w:t>
            </w:r>
          </w:p>
        </w:tc>
        <w:tc>
          <w:tcPr>
            <w:tcW w:type="dxa" w:w="13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$0 công bố</w:t>
            </w:r>
          </w:p>
        </w:tc>
        <w:tc>
          <w:tcPr>
            <w:tcW w:type="dxa" w:w="161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19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payOS</w:t>
              </w:r>
            </w:hyperlink>
          </w:p>
        </w:tc>
      </w:tr>
      <w:tr>
        <w:trPr>
          <w:cantSplit/>
        </w:trPr>
        <w:tc>
          <w:tcPr>
            <w:tcW w:type="dxa" w:w="10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Apple / Google</w:t>
            </w:r>
          </w:p>
        </w:tc>
        <w:tc>
          <w:tcPr>
            <w:tcW w:type="dxa" w:w="17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Phát hành ứng dụng mobile; xử lý IAP nếu bán trong app.</w:t>
            </w:r>
          </w:p>
        </w:tc>
        <w:tc>
          <w:tcPr>
            <w:tcW w:type="dxa" w:w="17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Account publishing; store fee nếu bán digital plan trong app.</w:t>
            </w:r>
          </w:p>
        </w:tc>
        <w:tc>
          <w:tcPr>
            <w:tcW w:type="dxa" w:w="19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Apple $99/năm; Google $25 một lần; subscription thường 15%.</w:t>
            </w:r>
          </w:p>
        </w:tc>
        <w:tc>
          <w:tcPr>
            <w:tcW w:type="dxa" w:w="13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Ngoài core table</w:t>
            </w:r>
          </w:p>
        </w:tc>
        <w:tc>
          <w:tcPr>
            <w:tcW w:type="dxa" w:w="161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20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Store fees</w:t>
              </w:r>
            </w:hyperlink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92028"/>
                <w:sz w:val="15"/>
              </w:rPr>
              <w:t>Domain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Địa chỉ web và nhận diện thương hiệu.</w:t>
            </w:r>
          </w:p>
        </w:tc>
        <w:tc>
          <w:tcPr>
            <w:tcW w:type="dxa" w:w="17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TLD, registrar và phí renew.</w:t>
            </w:r>
          </w:p>
        </w:tc>
        <w:tc>
          <w:tcPr>
            <w:tcW w:type="dxa" w:w="19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Chưa chốt domain/TLD nên lấy quote tại ngày mua.</w:t>
            </w:r>
          </w:p>
        </w:tc>
        <w:tc>
          <w:tcPr>
            <w:tcW w:type="dxa" w:w="13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5"/>
              </w:rPr>
              <w:t>TBD cần quote</w:t>
            </w:r>
          </w:p>
        </w:tc>
        <w:tc>
          <w:tcPr>
            <w:tcW w:type="dxa" w:w="161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hyperlink r:id="rId21">
              <w:r>
                <w:rPr>
                  <w:rFonts w:ascii="Calibri" w:hAnsi="Calibri"/>
                  <w:color w:val="2E74B5"/>
                  <w:sz w:val="15"/>
                  <w:u w:val="single"/>
                </w:rPr>
                <w:t>Registrar</w:t>
              </w:r>
            </w:hyperlink>
          </w:p>
        </w:tc>
      </w:tr>
    </w:tbl>
    <w:p>
      <w:pPr>
        <w:spacing w:before="100" w:after="100"/>
      </w:pPr>
      <w:r>
        <w:rPr>
          <w:rFonts w:ascii="Calibri" w:hAnsi="Calibri"/>
          <w:b/>
          <w:i w:val="0"/>
          <w:color w:val="192028"/>
          <w:sz w:val="18"/>
        </w:rPr>
        <w:t>Plan dùng theo quy mô:</w:t>
      </w:r>
      <w:r>
        <w:rPr>
          <w:rFonts w:ascii="Calibri" w:hAnsi="Calibri"/>
          <w:b w:val="0"/>
          <w:i w:val="0"/>
          <w:color w:val="192028"/>
          <w:sz w:val="18"/>
        </w:rPr>
        <w:t xml:space="preserve"> 100–1.000 MAU: Render Starter + Atlas Flex + Cloudinary Free; 10.000 MAU: Render Pro + 2 Standard, Atlas ~$60, Cloudinary Plus; 100.000 MAU: Render Pro + 4 Standard, Atlas M30, Cloudinary Pro.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7FB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92028"/>
                <w:sz w:val="20"/>
              </w:rPr>
              <w:t>CHI PHÍ NGOÀI BẢNG CORE.</w:t>
            </w:r>
            <w:r>
              <w:rPr>
                <w:rFonts w:ascii="Calibri" w:hAnsi="Calibri"/>
                <w:b w:val="0"/>
                <w:i w:val="0"/>
                <w:color w:val="192028"/>
                <w:sz w:val="20"/>
              </w:rPr>
              <w:t xml:space="preserve"> Apple Developer khoảng 2.623.500đ/năm; Google Play khoảng 662.500đ một lần. Store fee 15% chỉ áp dụng nếu bán digital plan trong app; shop thanh toán trên web qua payOS không được cộng store fee trong mô hình. Domain để TBD đến khi chốt TLD/registrar.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Mức sử dụng trên mỗi user và khả năng bù chi phí B2B</w:t>
      </w:r>
    </w:p>
    <w:p>
      <w:pPr>
        <w:pStyle w:val="Heading2"/>
        <w:keepNext/>
      </w:pPr>
      <w:r>
        <w:t>Sensitivity theo hành vi user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1650"/>
        <w:gridCol w:w="1650"/>
        <w:gridCol w:w="2200"/>
        <w:gridCol w:w="2260"/>
      </w:tblGrid>
      <w:tr>
        <w:trPr>
          <w:tblHeader w:val="true"/>
          <w:cantSplit/>
          <w:tblHeader w:val="true"/>
        </w:trPr>
        <w:tc>
          <w:tcPr>
            <w:tcW w:type="dxa" w:w="160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Mức dùng</w:t>
            </w:r>
          </w:p>
        </w:tc>
        <w:tc>
          <w:tcPr>
            <w:tcW w:type="dxa" w:w="16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Try-on / MAU</w:t>
            </w:r>
          </w:p>
        </w:tc>
        <w:tc>
          <w:tcPr>
            <w:tcW w:type="dxa" w:w="165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Stylist / MAU</w:t>
            </w:r>
          </w:p>
        </w:tc>
        <w:tc>
          <w:tcPr>
            <w:tcW w:type="dxa" w:w="220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AI cost / MAU</w:t>
            </w:r>
          </w:p>
        </w:tc>
        <w:tc>
          <w:tcPr>
            <w:tcW w:type="dxa" w:w="226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Quy đổi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Light</w:t>
            </w:r>
          </w:p>
        </w:tc>
        <w:tc>
          <w:tcPr>
            <w:tcW w:type="dxa" w:w="16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2</w:t>
            </w:r>
          </w:p>
        </w:tc>
        <w:tc>
          <w:tcPr>
            <w:tcW w:type="dxa" w:w="16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2</w:t>
            </w:r>
          </w:p>
        </w:tc>
        <w:tc>
          <w:tcPr>
            <w:tcW w:type="dxa" w:w="22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$0,1873</w:t>
            </w:r>
          </w:p>
        </w:tc>
        <w:tc>
          <w:tcPr>
            <w:tcW w:type="dxa" w:w="226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~4.964đ</w:t>
            </w:r>
          </w:p>
        </w:tc>
      </w:tr>
      <w:tr>
        <w:trPr>
          <w:cantSplit/>
        </w:trPr>
        <w:tc>
          <w:tcPr>
            <w:tcW w:type="dxa" w:w="16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Base B2B</w:t>
            </w:r>
          </w:p>
        </w:tc>
        <w:tc>
          <w:tcPr>
            <w:tcW w:type="dxa" w:w="16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5</w:t>
            </w:r>
          </w:p>
        </w:tc>
        <w:tc>
          <w:tcPr>
            <w:tcW w:type="dxa" w:w="165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10</w:t>
            </w:r>
          </w:p>
        </w:tc>
        <w:tc>
          <w:tcPr>
            <w:tcW w:type="dxa" w:w="22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$0,5866</w:t>
            </w:r>
          </w:p>
        </w:tc>
        <w:tc>
          <w:tcPr>
            <w:tcW w:type="dxa" w:w="226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~15.544đ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Stress</w:t>
            </w:r>
          </w:p>
        </w:tc>
        <w:tc>
          <w:tcPr>
            <w:tcW w:type="dxa" w:w="16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10</w:t>
            </w:r>
          </w:p>
        </w:tc>
        <w:tc>
          <w:tcPr>
            <w:tcW w:type="dxa" w:w="165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20</w:t>
            </w:r>
          </w:p>
        </w:tc>
        <w:tc>
          <w:tcPr>
            <w:tcW w:type="dxa" w:w="22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$1,1731</w:t>
            </w:r>
          </w:p>
        </w:tc>
        <w:tc>
          <w:tcPr>
            <w:tcW w:type="dxa" w:w="226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~31.087đ</w:t>
            </w:r>
          </w:p>
        </w:tc>
      </w:tr>
    </w:tbl>
    <w:p>
      <w:pPr>
        <w:spacing w:before="100" w:after="80"/>
      </w:pPr>
      <w:r>
        <w:rPr>
          <w:rFonts w:ascii="Calibri" w:hAnsi="Calibri"/>
          <w:b/>
          <w:color w:val="1F4D78"/>
          <w:sz w:val="19"/>
        </w:rPr>
        <w:t xml:space="preserve">Công thức cập nhật nhanh: </w:t>
      </w:r>
      <w:r>
        <w:rPr>
          <w:rFonts w:ascii="Calibri" w:hAnsi="Calibri"/>
          <w:color w:val="192028"/>
          <w:sz w:val="19"/>
        </w:rPr>
        <w:t>AI cost USD/tháng = MAU × try-on/MAU × 0,07 + MAU × Stylist/MAU × 0,023655.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Khả năng bù chi phí bằng gói Shop 349.000đ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4200"/>
        <w:gridCol w:w="3460"/>
      </w:tblGrid>
      <w:tr>
        <w:trPr>
          <w:tblHeader w:val="true"/>
          <w:cantSplit/>
          <w:tblHeader w:val="true"/>
        </w:trPr>
        <w:tc>
          <w:tcPr>
            <w:tcW w:type="dxa" w:w="170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MAU</w:t>
            </w:r>
          </w:p>
        </w:tc>
        <w:tc>
          <w:tcPr>
            <w:tcW w:type="dxa" w:w="420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Supplier budget +10%</w:t>
            </w:r>
          </w:p>
        </w:tc>
        <w:tc>
          <w:tcPr>
            <w:tcW w:type="dxa" w:w="3460"/>
            <w:shd w:fill="E8EEF5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Shop 349.000đ tối thiểu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100</w:t>
            </w:r>
          </w:p>
        </w:tc>
        <w:tc>
          <w:tcPr>
            <w:tcW w:type="dxa" w:w="42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2.875.793đ</w:t>
            </w:r>
          </w:p>
        </w:tc>
        <w:tc>
          <w:tcPr>
            <w:tcW w:type="dxa" w:w="346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9 shop</w:t>
            </w:r>
          </w:p>
        </w:tc>
      </w:tr>
      <w:tr>
        <w:trPr>
          <w:cantSplit/>
        </w:trPr>
        <w:tc>
          <w:tcPr>
            <w:tcW w:type="dxa" w:w="17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1.000</w:t>
            </w:r>
          </w:p>
        </w:tc>
        <w:tc>
          <w:tcPr>
            <w:tcW w:type="dxa" w:w="42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18.118.183đ</w:t>
            </w:r>
          </w:p>
        </w:tc>
        <w:tc>
          <w:tcPr>
            <w:tcW w:type="dxa" w:w="346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52 shop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10.000</w:t>
            </w:r>
          </w:p>
        </w:tc>
        <w:tc>
          <w:tcPr>
            <w:tcW w:type="dxa" w:w="420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178.383.425đ</w:t>
            </w:r>
          </w:p>
        </w:tc>
        <w:tc>
          <w:tcPr>
            <w:tcW w:type="dxa" w:w="3460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512 shop</w:t>
            </w:r>
          </w:p>
        </w:tc>
      </w:tr>
      <w:tr>
        <w:trPr>
          <w:cantSplit/>
        </w:trPr>
        <w:tc>
          <w:tcPr>
            <w:tcW w:type="dxa" w:w="17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100.000</w:t>
            </w:r>
          </w:p>
        </w:tc>
        <w:tc>
          <w:tcPr>
            <w:tcW w:type="dxa" w:w="420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1.760.281.050đ</w:t>
            </w:r>
          </w:p>
        </w:tc>
        <w:tc>
          <w:tcPr>
            <w:tcW w:type="dxa" w:w="3460"/>
            <w:shd w:fill="F8FAFC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92028"/>
                <w:sz w:val="18"/>
              </w:rPr>
              <w:t>5.044 shop</w:t>
            </w:r>
          </w:p>
        </w:tc>
      </w:tr>
    </w:tbl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i w:val="0"/>
          <w:color w:val="192028"/>
          <w:sz w:val="20"/>
        </w:rPr>
        <w:t>Doanh thu B2C bằng 0đ;</w:t>
      </w:r>
      <w:r>
        <w:rPr>
          <w:rFonts w:ascii="Calibri" w:hAnsi="Calibri"/>
          <w:b w:val="0"/>
          <w:i w:val="0"/>
          <w:color w:val="192028"/>
          <w:sz w:val="20"/>
        </w:rPr>
        <w:t xml:space="preserve"> toàn bộ supplier cost phải được bù bằng shop subscription, commission hoặc hợp đồng B2B.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i w:val="0"/>
          <w:color w:val="192028"/>
          <w:sz w:val="20"/>
        </w:rPr>
        <w:t>Số shop trong bảng</w:t>
      </w:r>
      <w:r>
        <w:rPr>
          <w:rFonts w:ascii="Calibri" w:hAnsi="Calibri"/>
          <w:b w:val="0"/>
          <w:i w:val="0"/>
          <w:color w:val="192028"/>
          <w:sz w:val="20"/>
        </w:rPr>
        <w:t xml:space="preserve"> chỉ là mức tối thiểu để bù supplier budget +10%, chưa gồm nhân sự, marketing, thuế, refund và lợi nhuận.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i w:val="0"/>
          <w:color w:val="192028"/>
          <w:sz w:val="20"/>
        </w:rPr>
        <w:t>Giá B2B</w:t>
      </w:r>
      <w:r>
        <w:rPr>
          <w:rFonts w:ascii="Calibri" w:hAnsi="Calibri"/>
          <w:b w:val="0"/>
          <w:i w:val="0"/>
          <w:color w:val="192028"/>
          <w:sz w:val="20"/>
        </w:rPr>
        <w:t xml:space="preserve"> nên gắn với MAU/usage hoặc có overage; gói cố định 349.000đ khó bù chi phí nếu mỗi shop mang nhiều end-user hoạt động.</w:t>
      </w:r>
    </w:p>
    <w:p>
      <w:pPr>
        <w:pStyle w:val="Heading2"/>
        <w:keepNext/>
      </w:pPr>
      <w:r>
        <w:t>Điều kiện để estimate Cloudinary còn đúng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i w:val="0"/>
          <w:color w:val="192028"/>
          <w:sz w:val="20"/>
        </w:rPr>
        <w:t>Giả định</w:t>
      </w:r>
      <w:r>
        <w:rPr>
          <w:rFonts w:ascii="Calibri" w:hAnsi="Calibri"/>
          <w:b w:val="0"/>
          <w:i w:val="0"/>
          <w:color w:val="192028"/>
          <w:sz w:val="20"/>
        </w:rPr>
        <w:t xml:space="preserve"> 1,5 ảnh × 1,5 MB mỗi try-on; 5 try-on/MAU/tháng; ảnh tạm được xoá sau tối đa 7 ngày.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i w:val="0"/>
          <w:color w:val="192028"/>
          <w:sz w:val="20"/>
        </w:rPr>
        <w:t>Không cleanup:</w:t>
      </w:r>
      <w:r>
        <w:rPr>
          <w:rFonts w:ascii="Calibri" w:hAnsi="Calibri"/>
          <w:b w:val="0"/>
          <w:i w:val="0"/>
          <w:color w:val="192028"/>
          <w:sz w:val="20"/>
        </w:rPr>
        <w:t xml:space="preserve"> ở 10.000 MAU, storage tích lũy có thể làm mức dùng vượt Plus 225 credits ngay tháng đầu.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color w:val="192028"/>
          <w:sz w:val="20"/>
        </w:rPr>
        <w:t>Code hiện chưa giữ public_id</w:t>
      </w:r>
      <w:r>
        <w:rPr>
          <w:rFonts w:ascii="Calibri" w:hAnsi="Calibri"/>
          <w:color w:val="192028"/>
          <w:sz w:val="20"/>
        </w:rPr>
        <w:t xml:space="preserve"> và chưa gọi destroy; vì vậy con số Cloudinary là budget có điều kiện, không phải trạng thái production hiện tại.</w:t>
      </w:r>
    </w:p>
    <w:p>
      <w:r>
        <w:br w:type="page"/>
      </w:r>
    </w:p>
    <w:p>
      <w:pPr>
        <w:pStyle w:val="Heading1"/>
        <w:keepNext/>
      </w:pPr>
      <w:r>
        <w:t>4. Rủi ro làm bill vượt dự toán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CE8E6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P0 — TRƯỚC PUBLIC LAUNCH. </w:t>
            </w:r>
            <w:r>
              <w:rPr>
                <w:rFonts w:ascii="Calibri" w:hAnsi="Calibri"/>
                <w:color w:val="192028"/>
                <w:sz w:val="20"/>
              </w:rPr>
              <w:t>Khoá endpoint try-on bằng auth/quota; ép batchSize = 1 phía server; reserve quota atomically trước khi gọi vendor; thêm rate limit và daily spending circuit breaker.</w:t>
            </w:r>
          </w:p>
        </w:tc>
      </w:tr>
    </w:tbl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color w:val="192028"/>
          <w:sz w:val="20"/>
        </w:rPr>
        <w:t>Endpoint POST /api/tryon/</w:t>
      </w:r>
      <w:r>
        <w:rPr>
          <w:rFonts w:ascii="Calibri" w:hAnsi="Calibri"/>
          <w:color w:val="192028"/>
          <w:sz w:val="20"/>
        </w:rPr>
        <w:t xml:space="preserve"> hiện không có auth/quota trong route cũ, có thể tạo PiAPI task ngoài quota.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color w:val="192028"/>
          <w:sz w:val="20"/>
        </w:rPr>
        <w:t>Server chưa có max batchSize</w:t>
      </w:r>
      <w:r>
        <w:rPr>
          <w:rFonts w:ascii="Calibri" w:hAnsi="Calibri"/>
          <w:color w:val="192028"/>
          <w:sz w:val="20"/>
        </w:rPr>
        <w:t>; attacker có thể yêu cầu nhiều output trong một request.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color w:val="192028"/>
          <w:sz w:val="20"/>
        </w:rPr>
        <w:t>Quota check và counter update</w:t>
      </w:r>
      <w:r>
        <w:rPr>
          <w:rFonts w:ascii="Calibri" w:hAnsi="Calibri"/>
          <w:color w:val="192028"/>
          <w:sz w:val="20"/>
        </w:rPr>
        <w:t xml:space="preserve"> không atomic; request đồng thời có thể cùng vượt qua kiểm tra.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b/>
          <w:color w:val="192028"/>
          <w:sz w:val="20"/>
        </w:rPr>
        <w:t>Ảnh try-on tạm</w:t>
      </w:r>
      <w:r>
        <w:rPr>
          <w:rFonts w:ascii="Calibri" w:hAnsi="Calibri"/>
          <w:color w:val="192028"/>
          <w:sz w:val="20"/>
        </w:rPr>
        <w:t xml:space="preserve"> chưa có lifecycle cleanup; Cloudinary bill có thể tăng lũy kế.</w:t>
      </w:r>
    </w:p>
    <w:p>
      <w:pPr>
        <w:pStyle w:val="Heading1"/>
        <w:keepNext/>
      </w:pPr>
      <w:r>
        <w:t>Evidence chính thức</w:t>
      </w:r>
    </w:p>
    <w:p>
      <w:pPr>
        <w:spacing w:after="100"/>
      </w:pPr>
      <w:r>
        <w:rPr>
          <w:rFonts w:ascii="Calibri" w:hAnsi="Calibri"/>
          <w:color w:val="5B6571"/>
          <w:sz w:val="18"/>
        </w:rPr>
        <w:t>Các tiêu đề màu xanh bên dưới là hyperlink trực tiếp tới trang chính thức.</w:t>
      </w:r>
    </w:p>
    <w:p>
      <w:pPr>
        <w:pStyle w:val="ListBullet"/>
        <w:spacing w:after="40" w:line="252" w:lineRule="auto"/>
        <w:ind w:left="540" w:hanging="271"/>
      </w:pPr>
      <w:hyperlink r:id="rId13">
        <w:r>
          <w:rPr>
            <w:rFonts w:ascii="Calibri" w:hAnsi="Calibri"/>
            <w:color w:val="2E74B5"/>
            <w:sz w:val="18"/>
            <w:u w:val="single"/>
          </w:rPr>
          <w:t>PiAPI — Virtual Try-On price</w:t>
        </w:r>
      </w:hyperlink>
    </w:p>
    <w:p>
      <w:pPr>
        <w:pStyle w:val="ListBullet"/>
        <w:spacing w:after="40" w:line="252" w:lineRule="auto"/>
        <w:ind w:left="540" w:hanging="271"/>
      </w:pPr>
      <w:hyperlink r:id="rId22">
        <w:r>
          <w:rPr>
            <w:rFonts w:ascii="Calibri" w:hAnsi="Calibri"/>
            <w:color w:val="2E74B5"/>
            <w:sz w:val="18"/>
            <w:u w:val="single"/>
          </w:rPr>
          <w:t>PiAPI — subscription pricing</w:t>
        </w:r>
      </w:hyperlink>
    </w:p>
    <w:p>
      <w:pPr>
        <w:pStyle w:val="ListBullet"/>
        <w:spacing w:after="40" w:line="252" w:lineRule="auto"/>
        <w:ind w:left="540" w:hanging="271"/>
      </w:pPr>
      <w:hyperlink r:id="rId14">
        <w:r>
          <w:rPr>
            <w:rFonts w:ascii="Calibri" w:hAnsi="Calibri"/>
            <w:color w:val="2E74B5"/>
            <w:sz w:val="18"/>
            <w:u w:val="single"/>
          </w:rPr>
          <w:t>Gemini API — 3.5 Flash &amp; embedding pricing</w:t>
        </w:r>
      </w:hyperlink>
    </w:p>
    <w:p>
      <w:pPr>
        <w:pStyle w:val="ListBullet"/>
        <w:spacing w:after="40" w:line="252" w:lineRule="auto"/>
        <w:ind w:left="540" w:hanging="271"/>
      </w:pPr>
      <w:hyperlink r:id="rId15">
        <w:r>
          <w:rPr>
            <w:rFonts w:ascii="Calibri" w:hAnsi="Calibri"/>
            <w:color w:val="2E74B5"/>
            <w:sz w:val="18"/>
            <w:u w:val="single"/>
          </w:rPr>
          <w:t>Cloudinary — pricing &amp; plan comparison</w:t>
        </w:r>
      </w:hyperlink>
    </w:p>
    <w:p>
      <w:pPr>
        <w:pStyle w:val="ListBullet"/>
        <w:spacing w:after="40" w:line="252" w:lineRule="auto"/>
        <w:ind w:left="540" w:hanging="271"/>
      </w:pPr>
      <w:hyperlink r:id="rId23">
        <w:r>
          <w:rPr>
            <w:rFonts w:ascii="Calibri" w:hAnsi="Calibri"/>
            <w:color w:val="2E74B5"/>
            <w:sz w:val="18"/>
            <w:u w:val="single"/>
          </w:rPr>
          <w:t>Cloudinary — credit definition</w:t>
        </w:r>
      </w:hyperlink>
    </w:p>
    <w:p>
      <w:pPr>
        <w:pStyle w:val="ListBullet"/>
        <w:spacing w:after="40" w:line="252" w:lineRule="auto"/>
        <w:ind w:left="540" w:hanging="271"/>
      </w:pPr>
      <w:hyperlink r:id="rId24">
        <w:r>
          <w:rPr>
            <w:rFonts w:ascii="Calibri" w:hAnsi="Calibri"/>
            <w:color w:val="2E74B5"/>
            <w:sz w:val="18"/>
            <w:u w:val="single"/>
          </w:rPr>
          <w:t>MongoDB Atlas — Flex costs</w:t>
        </w:r>
      </w:hyperlink>
    </w:p>
    <w:p>
      <w:pPr>
        <w:pStyle w:val="ListBullet"/>
        <w:spacing w:after="40" w:line="252" w:lineRule="auto"/>
        <w:ind w:left="540" w:hanging="271"/>
      </w:pPr>
      <w:hyperlink r:id="rId16">
        <w:r>
          <w:rPr>
            <w:rFonts w:ascii="Calibri" w:hAnsi="Calibri"/>
            <w:color w:val="2E74B5"/>
            <w:sz w:val="18"/>
            <w:u w:val="single"/>
          </w:rPr>
          <w:t>MongoDB Atlas — dedicated billing examples</w:t>
        </w:r>
      </w:hyperlink>
    </w:p>
    <w:p>
      <w:pPr>
        <w:pStyle w:val="ListBullet"/>
        <w:spacing w:after="40" w:line="252" w:lineRule="auto"/>
        <w:ind w:left="540" w:hanging="271"/>
      </w:pPr>
      <w:hyperlink r:id="rId17">
        <w:r>
          <w:rPr>
            <w:rFonts w:ascii="Calibri" w:hAnsi="Calibri"/>
            <w:color w:val="2E74B5"/>
            <w:sz w:val="18"/>
            <w:u w:val="single"/>
          </w:rPr>
          <w:t>Render — workspace plans</w:t>
        </w:r>
      </w:hyperlink>
    </w:p>
    <w:p>
      <w:pPr>
        <w:pStyle w:val="ListBullet"/>
        <w:spacing w:after="40" w:line="252" w:lineRule="auto"/>
        <w:ind w:left="540" w:hanging="271"/>
      </w:pPr>
      <w:hyperlink r:id="rId25">
        <w:r>
          <w:rPr>
            <w:rFonts w:ascii="Calibri" w:hAnsi="Calibri"/>
            <w:color w:val="2E74B5"/>
            <w:sz w:val="18"/>
            <w:u w:val="single"/>
          </w:rPr>
          <w:t>Render — compute price evidence</w:t>
        </w:r>
      </w:hyperlink>
    </w:p>
    <w:p>
      <w:pPr>
        <w:pStyle w:val="ListBullet"/>
        <w:spacing w:after="40" w:line="252" w:lineRule="auto"/>
        <w:ind w:left="540" w:hanging="271"/>
      </w:pPr>
      <w:hyperlink r:id="rId18">
        <w:r>
          <w:rPr>
            <w:rFonts w:ascii="Calibri" w:hAnsi="Calibri"/>
            <w:color w:val="2E74B5"/>
            <w:sz w:val="18"/>
            <w:u w:val="single"/>
          </w:rPr>
          <w:t>Vercel — pricing</w:t>
        </w:r>
      </w:hyperlink>
    </w:p>
    <w:p>
      <w:pPr>
        <w:pStyle w:val="ListBullet"/>
        <w:spacing w:after="40" w:line="252" w:lineRule="auto"/>
        <w:ind w:left="540" w:hanging="271"/>
      </w:pPr>
      <w:hyperlink r:id="rId19">
        <w:r>
          <w:rPr>
            <w:rFonts w:ascii="Calibri" w:hAnsi="Calibri"/>
            <w:color w:val="2E74B5"/>
            <w:sz w:val="18"/>
            <w:u w:val="single"/>
          </w:rPr>
          <w:t>payOS — official fee announcement</w:t>
        </w:r>
      </w:hyperlink>
    </w:p>
    <w:p>
      <w:pPr>
        <w:pStyle w:val="ListBullet"/>
        <w:spacing w:after="40" w:line="252" w:lineRule="auto"/>
        <w:ind w:left="540" w:hanging="271"/>
      </w:pPr>
      <w:hyperlink r:id="rId26">
        <w:r>
          <w:rPr>
            <w:rFonts w:ascii="Calibri" w:hAnsi="Calibri"/>
            <w:color w:val="2E74B5"/>
            <w:sz w:val="18"/>
            <w:u w:val="single"/>
          </w:rPr>
          <w:t>Apple Developer Program</w:t>
        </w:r>
      </w:hyperlink>
    </w:p>
    <w:p>
      <w:pPr>
        <w:pStyle w:val="ListBullet"/>
        <w:spacing w:after="40" w:line="252" w:lineRule="auto"/>
        <w:ind w:left="540" w:hanging="271"/>
      </w:pPr>
      <w:hyperlink r:id="rId27">
        <w:r>
          <w:rPr>
            <w:rFonts w:ascii="Calibri" w:hAnsi="Calibri"/>
            <w:color w:val="2E74B5"/>
            <w:sz w:val="18"/>
            <w:u w:val="single"/>
          </w:rPr>
          <w:t>Apple App Review Guidelines — In-App Purchase</w:t>
        </w:r>
      </w:hyperlink>
    </w:p>
    <w:p>
      <w:pPr>
        <w:pStyle w:val="ListBullet"/>
        <w:spacing w:after="40" w:line="252" w:lineRule="auto"/>
        <w:ind w:left="540" w:hanging="271"/>
      </w:pPr>
      <w:hyperlink r:id="rId28">
        <w:r>
          <w:rPr>
            <w:rFonts w:ascii="Calibri" w:hAnsi="Calibri"/>
            <w:color w:val="2E74B5"/>
            <w:sz w:val="18"/>
            <w:u w:val="single"/>
          </w:rPr>
          <w:t>Google Play Console registration</w:t>
        </w:r>
      </w:hyperlink>
    </w:p>
    <w:p>
      <w:pPr>
        <w:pStyle w:val="ListBullet"/>
        <w:spacing w:after="40" w:line="252" w:lineRule="auto"/>
        <w:ind w:left="540" w:hanging="271"/>
      </w:pPr>
      <w:hyperlink r:id="rId20">
        <w:r>
          <w:rPr>
            <w:rFonts w:ascii="Calibri" w:hAnsi="Calibri"/>
            <w:color w:val="2E74B5"/>
            <w:sz w:val="18"/>
            <w:u w:val="single"/>
          </w:rPr>
          <w:t>Google Play service fees</w:t>
        </w:r>
      </w:hyperlink>
    </w:p>
    <w:p>
      <w:pPr>
        <w:pStyle w:val="ListBullet"/>
        <w:spacing w:after="40" w:line="252" w:lineRule="auto"/>
        <w:ind w:left="540" w:hanging="271"/>
      </w:pPr>
      <w:hyperlink r:id="rId29">
        <w:r>
          <w:rPr>
            <w:rFonts w:ascii="Calibri" w:hAnsi="Calibri"/>
            <w:color w:val="2E74B5"/>
            <w:sz w:val="18"/>
            <w:u w:val="single"/>
          </w:rPr>
          <w:t>Google Play payments policy</w:t>
        </w:r>
      </w:hyperlink>
    </w:p>
    <w:p>
      <w:pPr>
        <w:pStyle w:val="ListBullet"/>
        <w:spacing w:after="40" w:line="252" w:lineRule="auto"/>
        <w:ind w:left="540" w:hanging="271"/>
      </w:pPr>
      <w:hyperlink r:id="rId21">
        <w:r>
          <w:rPr>
            <w:rFonts w:ascii="Calibri" w:hAnsi="Calibri"/>
            <w:color w:val="2E74B5"/>
            <w:sz w:val="18"/>
            <w:u w:val="single"/>
          </w:rPr>
          <w:t>Cloudflare Registrar — at-cost model</w:t>
        </w:r>
      </w:hyperlink>
    </w:p>
    <w:p>
      <w:pPr>
        <w:pStyle w:val="Heading2"/>
        <w:keepNext/>
      </w:pPr>
      <w:r>
        <w:t>Cách dùng tài liệu</w:t>
      </w:r>
    </w:p>
    <w:p>
      <w:pPr>
        <w:spacing w:after="0"/>
      </w:pPr>
      <w:r>
        <w:rPr>
          <w:rFonts w:ascii="Calibri" w:hAnsi="Calibri"/>
          <w:b w:val="0"/>
          <w:i w:val="0"/>
          <w:color w:val="5B6571"/>
          <w:sz w:val="18"/>
        </w:rPr>
        <w:t>Thay 5 try-on/MAU và 10 Stylist/MAU bằng dữ liệu thực sau 30 ngày; đối chiếu dashboard/invoice vendor mỗi tháng. Báo cáo nghiên cứu đầy đủ và evidence code được lưu tại MIROIR_COST_RESEARCH_2026.md trong repository.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080" w:right="1440" w:bottom="1008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920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920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19202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piapi.ai/docs/kling-api/virtual-try-on-api" TargetMode="External"/><Relationship Id="rId14" Type="http://schemas.openxmlformats.org/officeDocument/2006/relationships/hyperlink" Target="https://ai.google.dev/gemini-api/docs/pricing#gemini-3.5-flash" TargetMode="External"/><Relationship Id="rId15" Type="http://schemas.openxmlformats.org/officeDocument/2006/relationships/hyperlink" Target="https://cloudinary.com/pricing/compare-plans" TargetMode="External"/><Relationship Id="rId16" Type="http://schemas.openxmlformats.org/officeDocument/2006/relationships/hyperlink" Target="https://www.mongodb.com/docs/atlas/billing/billing-breakdown-optimization/" TargetMode="External"/><Relationship Id="rId17" Type="http://schemas.openxmlformats.org/officeDocument/2006/relationships/hyperlink" Target="https://render.com/docs/new-workspace-plans" TargetMode="External"/><Relationship Id="rId18" Type="http://schemas.openxmlformats.org/officeDocument/2006/relationships/hyperlink" Target="https://vercel.com/pricing" TargetMode="External"/><Relationship Id="rId19" Type="http://schemas.openxmlformats.org/officeDocument/2006/relationships/hyperlink" Target="https://payos.vn/" TargetMode="External"/><Relationship Id="rId20" Type="http://schemas.openxmlformats.org/officeDocument/2006/relationships/hyperlink" Target="https://support.google.com/googleplay/android-developer/answer/112622" TargetMode="External"/><Relationship Id="rId21" Type="http://schemas.openxmlformats.org/officeDocument/2006/relationships/hyperlink" Target="https://developers.cloudflare.com/registrar/" TargetMode="External"/><Relationship Id="rId22" Type="http://schemas.openxmlformats.org/officeDocument/2006/relationships/hyperlink" Target="https://piapi.ai/pricing" TargetMode="External"/><Relationship Id="rId23" Type="http://schemas.openxmlformats.org/officeDocument/2006/relationships/hyperlink" Target="https://cloudinary.com/documentation/billing_and_plans" TargetMode="External"/><Relationship Id="rId24" Type="http://schemas.openxmlformats.org/officeDocument/2006/relationships/hyperlink" Target="https://www.mongodb.com/docs/atlas/billing/atlas-flex-costs/" TargetMode="External"/><Relationship Id="rId25" Type="http://schemas.openxmlformats.org/officeDocument/2006/relationships/hyperlink" Target="https://render.com/articles/render-vs-railway" TargetMode="External"/><Relationship Id="rId26" Type="http://schemas.openxmlformats.org/officeDocument/2006/relationships/hyperlink" Target="https://developer.apple.com/programs/whats-included/" TargetMode="External"/><Relationship Id="rId27" Type="http://schemas.openxmlformats.org/officeDocument/2006/relationships/hyperlink" Target="https://developer.apple.com/app-store/review/guidelines/#in-app-purchase" TargetMode="External"/><Relationship Id="rId28" Type="http://schemas.openxmlformats.org/officeDocument/2006/relationships/hyperlink" Target="https://support.google.com/googleplay/android-developer/answer/6112435" TargetMode="External"/><Relationship Id="rId29" Type="http://schemas.openxmlformats.org/officeDocument/2006/relationships/hyperlink" Target="https://support.google.com/googleplay/android-developer/answer/98587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MIROIR – Tóm tắt chi phí vận hành theo quy mô người dùng</dc:title>
  <dc:subject>Mô hình chi phí B2B-funded theo MAU và usage</dc:subject>
  <dc:creator>OpenAI Codex – research synthesis</dc:creator>
  <cp:keywords>MIROIR, B2B, MAU, try-on, AI Stylist, supplier cost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