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ampusfin-ai--security-self-assessment"/>
    <w:p>
      <w:pPr>
        <w:pStyle w:val="Heading1"/>
        <w:keepNext/>
      </w:pPr>
      <w:r>
        <w:t xml:space="preserve">CampusFin AI — Security Self-Assessment</w:t>
      </w:r>
    </w:p>
    <w:p>
      <w:pPr>
        <w:pStyle w:val="FirstParagraph"/>
        <w:keepLines/>
      </w:pPr>
      <w:r>
        <w:rPr>
          <w:b/>
          <w:bCs/>
        </w:rPr>
        <w:t xml:space="preserve">Date:</w:t>
      </w:r>
      <w:r>
        <w:t xml:space="preserve"> </w:t>
      </w:r>
      <w:r>
        <w:t xml:space="preserve">19 October 2026 |</w:t>
      </w:r>
      <w:r>
        <w:t xml:space="preserve"> </w:t>
      </w:r>
      <w:r>
        <w:rPr>
          <w:b/>
          <w:bCs/>
        </w:rPr>
        <w:t xml:space="preserve">Scope:</w:t>
      </w:r>
      <w:r>
        <w:t xml:space="preserve"> </w:t>
      </w:r>
      <w:r>
        <w:t xml:space="preserve">local synthetic Phase 5 demonstration |</w:t>
      </w:r>
      <w:r>
        <w:t xml:space="preserve"> </w:t>
      </w:r>
      <w:r>
        <w:rPr>
          <w:b/>
          <w:bCs/>
        </w:rPr>
        <w:t xml:space="preserve">Status:</w:t>
      </w:r>
      <w:r>
        <w:t xml:space="preserve"> </w:t>
      </w:r>
      <w:r>
        <w:t xml:space="preserve">self-assessment, not an independent penetration test</w:t>
      </w:r>
    </w:p>
    <w:bookmarkStart w:id="20" w:name="a-scope-and-data-classification"/>
    <w:p>
      <w:pPr>
        <w:pStyle w:val="Heading2"/>
        <w:keepNext/>
      </w:pPr>
      <w:r>
        <w:t xml:space="preserve">A. Scope and data classification</w:t>
      </w:r>
    </w:p>
    <w:p>
      <w:pPr>
        <w:pStyle w:val="Compact"/>
        <w:numPr>
          <w:ilvl w:val="0"/>
          <w:numId w:val="1001"/>
        </w:numPr>
      </w:pPr>
      <w:r>
        <w:t xml:space="preserve">Sample persona Amina; all names, balances, payments, FX data and transfer quotes in this project are fictional.</w:t>
      </w:r>
    </w:p>
    <w:p>
      <w:pPr>
        <w:pStyle w:val="Compact"/>
        <w:numPr>
          <w:ilvl w:val="0"/>
          <w:numId w:val="1001"/>
        </w:numPr>
      </w:pPr>
      <w:r>
        <w:t xml:space="preserve">Local SQLite is used to persist demo records and log actions. The starter ZIP does not contain a runtime database.</w:t>
      </w:r>
    </w:p>
    <w:p>
      <w:pPr>
        <w:pStyle w:val="Compact"/>
        <w:numPr>
          <w:ilvl w:val="0"/>
          <w:numId w:val="1001"/>
        </w:numPr>
      </w:pPr>
      <w:r>
        <w:t xml:space="preserve">A private</w:t>
      </w:r>
      <w:r>
        <w:t xml:space="preserve"> </w:t>
      </w:r>
      <w:r>
        <w:rPr>
          <w:rStyle w:val="VerbatimChar"/>
        </w:rPr>
        <w:t xml:space="preserve">GEMINI_API_KEY</w:t>
      </w:r>
      <w:r>
        <w:t xml:space="preserve"> </w:t>
      </w:r>
      <w:r>
        <w:t xml:space="preserve">is read only by the Python backend from a process environment variable. Never embed keys in React assets, screenshots, decks, repos or logs.</w:t>
      </w:r>
    </w:p>
    <w:p>
      <w:pPr>
        <w:pStyle w:val="Compact"/>
        <w:numPr>
          <w:ilvl w:val="0"/>
          <w:numId w:val="1001"/>
        </w:numPr>
      </w:pPr>
      <w:r>
        <w:t xml:space="preserve">No direct banking, real payments, email dispatch, university fee-payment API, card processing or real financial advice.</w:t>
      </w:r>
    </w:p>
    <w:bookmarkEnd w:id="20"/>
    <w:bookmarkStart w:id="21" w:name="X68954bd7510e73ff77116ae2bf02602e309a6c5"/>
    <w:p>
      <w:pPr>
        <w:pStyle w:val="Heading2"/>
        <w:keepNext/>
      </w:pPr>
      <w:r>
        <w:t xml:space="preserve">B. Permission tiers and enforceable boundaries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shd w:fill="E8F4F0"/>
            <w:shd w:fill="E8F4F0"/>
          </w:tcPr>
          <w:p>
            <w:pPr>
              <w:pStyle w:val="Compact"/>
              <w:spacing w:after="20"/>
              <w:jc w:val="left"/>
            </w:pPr>
            <w:r>
              <w:rPr>
                <w:rFonts w:ascii="Aptos" w:hAnsi="Aptos"/>
                <w:sz w:val="14"/>
              </w:rPr>
              <w:t xml:space="preserve">Tier</w:t>
            </w:r>
          </w:p>
        </w:tc>
        <w:tc>
          <w:tcPr>
            <w:vAlign w:val="center"/>
            <w:shd w:fill="E8F4F0"/>
            <w:shd w:fill="E8F4F0"/>
          </w:tcPr>
          <w:p>
            <w:pPr>
              <w:pStyle w:val="Compact"/>
              <w:spacing w:after="20"/>
              <w:jc w:val="left"/>
            </w:pPr>
            <w:r>
              <w:rPr>
                <w:rFonts w:ascii="Aptos" w:hAnsi="Aptos"/>
                <w:sz w:val="14"/>
              </w:rPr>
              <w:t xml:space="preserve">Intended actions</w:t>
            </w:r>
          </w:p>
        </w:tc>
        <w:tc>
          <w:tcPr>
            <w:vAlign w:val="center"/>
            <w:shd w:fill="E8F4F0"/>
            <w:shd w:fill="E8F4F0"/>
          </w:tcPr>
          <w:p>
            <w:pPr>
              <w:pStyle w:val="Compact"/>
              <w:spacing w:after="20"/>
              <w:jc w:val="left"/>
            </w:pPr>
            <w:r>
              <w:rPr>
                <w:rFonts w:ascii="Aptos" w:hAnsi="Aptos"/>
                <w:sz w:val="14"/>
              </w:rPr>
              <w:t xml:space="preserve">Actual Phase 5 behavior</w:t>
            </w:r>
          </w:p>
        </w:tc>
      </w:tr>
      <w:tr>
        <w:tc>
          <w:tcPr>
            <w:vAlign w:val="center"/>
          </w:tcPr>
          <w:p>
            <w:pPr>
              <w:pStyle w:val="Compact"/>
              <w:spacing w:after="20"/>
              <w:jc w:val="left"/>
            </w:pPr>
            <w:r>
              <w:rPr>
                <w:rFonts w:ascii="Aptos" w:hAnsi="Aptos"/>
                <w:sz w:val="14"/>
              </w:rPr>
              <w:t xml:space="preserve">0 — Read</w:t>
            </w:r>
          </w:p>
        </w:tc>
        <w:tc>
          <w:tcPr>
            <w:vAlign w:val="center"/>
          </w:tcPr>
          <w:p>
            <w:pPr>
              <w:pStyle w:val="Compact"/>
              <w:spacing w:after="20"/>
              <w:jc w:val="left"/>
            </w:pPr>
            <w:r>
              <w:rPr>
                <w:rFonts w:ascii="Aptos" w:hAnsi="Aptos"/>
                <w:sz w:val="14"/>
              </w:rPr>
              <w:t xml:space="preserve">Read ledger, forecast, quotes, simulate, request preview</w:t>
            </w:r>
          </w:p>
        </w:tc>
        <w:tc>
          <w:tcPr>
            <w:vAlign w:val="center"/>
          </w:tcPr>
          <w:p>
            <w:pPr>
              <w:pStyle w:val="Compact"/>
              <w:spacing w:after="20"/>
              <w:jc w:val="left"/>
            </w:pPr>
            <w:r>
              <w:rPr>
                <w:rFonts w:ascii="Aptos" w:hAnsi="Aptos"/>
                <w:sz w:val="14"/>
              </w:rPr>
              <w:t xml:space="preserve">Gemini tool allowlist contains read-only functions only; numeric outputs computed by Python</w:t>
            </w:r>
          </w:p>
        </w:tc>
      </w:tr>
      <w:tr>
        <w:tc>
          <w:tcPr>
            <w:vAlign w:val="center"/>
          </w:tcPr>
          <w:p>
            <w:pPr>
              <w:pStyle w:val="Compact"/>
              <w:spacing w:after="20"/>
              <w:jc w:val="left"/>
            </w:pPr>
            <w:r>
              <w:rPr>
                <w:rFonts w:ascii="Aptos" w:hAnsi="Aptos"/>
                <w:sz w:val="14"/>
              </w:rPr>
              <w:t xml:space="preserve">1 — Draft</w:t>
            </w:r>
          </w:p>
        </w:tc>
        <w:tc>
          <w:tcPr>
            <w:vAlign w:val="center"/>
          </w:tcPr>
          <w:p>
            <w:pPr>
              <w:pStyle w:val="Compact"/>
              <w:spacing w:after="20"/>
              <w:jc w:val="left"/>
            </w:pPr>
            <w:r>
              <w:rPr>
                <w:rFonts w:ascii="Aptos" w:hAnsi="Aptos"/>
                <w:sz w:val="14"/>
              </w:rPr>
              <w:t xml:space="preserve">Locally create/edit/approve a funding request draft</w:t>
            </w:r>
          </w:p>
        </w:tc>
        <w:tc>
          <w:tcPr>
            <w:vAlign w:val="center"/>
          </w:tcPr>
          <w:p>
            <w:pPr>
              <w:pStyle w:val="Compact"/>
              <w:spacing w:after="20"/>
              <w:jc w:val="left"/>
            </w:pPr>
            <w:r>
              <w:rPr>
                <w:rFonts w:ascii="Aptos" w:hAnsi="Aptos"/>
                <w:sz w:val="14"/>
              </w:rPr>
              <w:t xml:space="preserve">UI submits to local backend, explicit approval boolean for approval; no message is sent</w:t>
            </w:r>
          </w:p>
        </w:tc>
      </w:tr>
      <w:tr>
        <w:tc>
          <w:tcPr>
            <w:vAlign w:val="center"/>
          </w:tcPr>
          <w:p>
            <w:pPr>
              <w:pStyle w:val="Compact"/>
              <w:spacing w:after="20"/>
              <w:jc w:val="left"/>
            </w:pPr>
            <w:r>
              <w:rPr>
                <w:rFonts w:ascii="Aptos" w:hAnsi="Aptos"/>
                <w:sz w:val="14"/>
              </w:rPr>
              <w:t xml:space="preserve">2 — Mutation</w:t>
            </w:r>
          </w:p>
        </w:tc>
        <w:tc>
          <w:tcPr>
            <w:vAlign w:val="center"/>
          </w:tcPr>
          <w:p>
            <w:pPr>
              <w:pStyle w:val="Compact"/>
              <w:spacing w:after="20"/>
              <w:jc w:val="left"/>
            </w:pPr>
            <w:r>
              <w:rPr>
                <w:rFonts w:ascii="Aptos" w:hAnsi="Aptos"/>
                <w:sz w:val="14"/>
              </w:rPr>
              <w:t xml:space="preserve">Edit synthetic funding/obligations</w:t>
            </w:r>
          </w:p>
        </w:tc>
        <w:tc>
          <w:tcPr>
            <w:vAlign w:val="center"/>
          </w:tcPr>
          <w:p>
            <w:pPr>
              <w:pStyle w:val="Compact"/>
              <w:spacing w:after="20"/>
              <w:jc w:val="left"/>
            </w:pPr>
            <w:r>
              <w:rPr>
                <w:rFonts w:ascii="Aptos" w:hAnsi="Aptos"/>
                <w:sz w:val="14"/>
              </w:rPr>
              <w:t xml:space="preserve">Direct demo UI HTTP endpoints can mutate after validation;</w:t>
            </w:r>
            <w:r>
              <w:rPr>
                <w:rFonts w:ascii="Aptos" w:hAnsi="Aptos"/>
                <w:sz w:val="14"/>
              </w:rPr>
              <w:t xml:space="preserve"> </w:t>
            </w:r>
            <w:r>
              <w:rPr>
                <w:rFonts w:ascii="Aptos" w:hAnsi="Aptos"/>
                <w:b/>
                <w:bCs/>
                <w:sz w:val="14"/>
              </w:rPr>
              <w:t xml:space="preserve">there is no production auth/identity or robust server-side per-user approval gate</w:t>
            </w:r>
          </w:p>
        </w:tc>
      </w:tr>
      <w:tr>
        <w:tc>
          <w:tcPr>
            <w:vAlign w:val="center"/>
          </w:tcPr>
          <w:p>
            <w:pPr>
              <w:pStyle w:val="Compact"/>
              <w:spacing w:after="20"/>
              <w:jc w:val="left"/>
            </w:pPr>
            <w:r>
              <w:rPr>
                <w:rFonts w:ascii="Aptos" w:hAnsi="Aptos"/>
                <w:sz w:val="14"/>
              </w:rPr>
              <w:t xml:space="preserve">Restricted</w:t>
            </w:r>
          </w:p>
        </w:tc>
        <w:tc>
          <w:tcPr>
            <w:vAlign w:val="center"/>
          </w:tcPr>
          <w:p>
            <w:pPr>
              <w:pStyle w:val="Compact"/>
              <w:spacing w:after="20"/>
              <w:jc w:val="left"/>
            </w:pPr>
            <w:r>
              <w:rPr>
                <w:rFonts w:ascii="Aptos" w:hAnsi="Aptos"/>
                <w:sz w:val="14"/>
              </w:rPr>
              <w:t xml:space="preserve">Settle money, send remittance, bank access</w:t>
            </w:r>
          </w:p>
        </w:tc>
        <w:tc>
          <w:tcPr>
            <w:vAlign w:val="center"/>
          </w:tcPr>
          <w:p>
            <w:pPr>
              <w:pStyle w:val="Compact"/>
              <w:spacing w:after="20"/>
              <w:jc w:val="left"/>
            </w:pPr>
            <w:r>
              <w:rPr>
                <w:rFonts w:ascii="Aptos" w:hAnsi="Aptos"/>
                <w:sz w:val="14"/>
              </w:rPr>
              <w:t xml:space="preserve">Not implemented. Gemini cannot call any such tool</w:t>
            </w:r>
          </w:p>
        </w:tc>
      </w:tr>
    </w:tbl>
    <w:p>
      <w:pPr>
        <w:pStyle w:val="BodyText"/>
        <w:keepLines/>
      </w:pPr>
      <w:r>
        <w:rPr>
          <w:b/>
          <w:bCs/>
        </w:rPr>
        <w:t xml:space="preserve">Important limitation:</w:t>
      </w:r>
      <w:r>
        <w:t xml:space="preserve"> </w:t>
      </w:r>
      <w:r>
        <w:t xml:space="preserve">A malicious local client can call demo mutation endpoints directly because this local prototype has</w:t>
      </w:r>
      <w:r>
        <w:t xml:space="preserve"> </w:t>
      </w:r>
      <w:r>
        <w:rPr>
          <w:b/>
          <w:bCs/>
        </w:rPr>
        <w:t xml:space="preserve">no login or authorization</w:t>
      </w:r>
      <w:r>
        <w:t xml:space="preserve">. Client-side buttons are not security boundaries. For this reason, Phase 5 must never be deployed to a public-facing server or used with real financial data.</w:t>
      </w:r>
    </w:p>
    <w:bookmarkEnd w:id="21"/>
    <w:bookmarkStart w:id="22" w:name="c-controls-actually-implemented"/>
    <w:p>
      <w:pPr>
        <w:pStyle w:val="Heading2"/>
        <w:keepNext/>
      </w:pPr>
      <w:r>
        <w:t xml:space="preserve">C. Controls actually implemented</w:t>
      </w:r>
    </w:p>
    <w:p>
      <w:pPr>
        <w:pStyle w:val="Compact"/>
        <w:numPr>
          <w:ilvl w:val="0"/>
          <w:numId w:val="1002"/>
        </w:numPr>
      </w:pPr>
      <w:r>
        <w:t xml:space="preserve">Pydantic schema checks for supported currency, positive/finite monetary values, ordered funding arrival dates and recognized scenarios.</w:t>
      </w:r>
    </w:p>
    <w:p>
      <w:pPr>
        <w:pStyle w:val="Compact"/>
        <w:numPr>
          <w:ilvl w:val="0"/>
          <w:numId w:val="1002"/>
        </w:numPr>
      </w:pPr>
      <w:r>
        <w:t xml:space="preserve">Python</w:t>
      </w:r>
      <w:r>
        <w:t xml:space="preserve"> </w:t>
      </w:r>
      <w:r>
        <w:rPr>
          <w:rStyle w:val="VerbatimChar"/>
        </w:rPr>
        <w:t xml:space="preserve">Decimal</w:t>
      </w:r>
      <w:r>
        <w:t xml:space="preserve"> </w:t>
      </w:r>
      <w:r>
        <w:t xml:space="preserve">for monetary arithmetic; reject floats, NaN, infinity, unparseable values and huge unrealistic demo values.</w:t>
      </w:r>
    </w:p>
    <w:p>
      <w:pPr>
        <w:pStyle w:val="Compact"/>
        <w:numPr>
          <w:ilvl w:val="0"/>
          <w:numId w:val="1002"/>
        </w:numPr>
      </w:pPr>
      <w:r>
        <w:t xml:space="preserve">Reproducible synthetic seed data and reset path; settled wages are never added again to the opening balance.</w:t>
      </w:r>
    </w:p>
    <w:p>
      <w:pPr>
        <w:pStyle w:val="Compact"/>
        <w:numPr>
          <w:ilvl w:val="0"/>
          <w:numId w:val="1002"/>
        </w:numPr>
      </w:pPr>
      <w:r>
        <w:t xml:space="preserve">Explicit distinctions between expected/in-transit versus confirmed cash, between conditional recovery versus proven outcomes, and between a request draft and delivered message.</w:t>
      </w:r>
    </w:p>
    <w:p>
      <w:pPr>
        <w:pStyle w:val="Compact"/>
        <w:numPr>
          <w:ilvl w:val="0"/>
          <w:numId w:val="1002"/>
        </w:numPr>
      </w:pPr>
      <w:r>
        <w:t xml:space="preserve">Gemini backend tool allowlist; bounded turn/tool counts; tool-argument validation; no write tools; offline fallback labeled.</w:t>
      </w:r>
    </w:p>
    <w:p>
      <w:pPr>
        <w:pStyle w:val="Compact"/>
        <w:numPr>
          <w:ilvl w:val="0"/>
          <w:numId w:val="1002"/>
        </w:numPr>
      </w:pPr>
      <w:r>
        <w:t xml:space="preserve">Model-generated financial numbers screened; trusted UI renders separately calculated server outputs and ProofCard traces.</w:t>
      </w:r>
    </w:p>
    <w:p>
      <w:pPr>
        <w:pStyle w:val="Compact"/>
        <w:numPr>
          <w:ilvl w:val="0"/>
          <w:numId w:val="1002"/>
        </w:numPr>
      </w:pPr>
      <w:r>
        <w:t xml:space="preserve">Recorded local audit events for edits, simulated rescue and AI turns.</w:t>
      </w:r>
      <w:r>
        <w:t xml:space="preserve"> </w:t>
      </w:r>
      <w:r>
        <w:rPr>
          <w:b/>
          <w:bCs/>
        </w:rPr>
        <w:t xml:space="preserve">Logs are editable/deletable by a local machine administrator</w:t>
      </w:r>
      <w:r>
        <w:t xml:space="preserve">; do not describe them as cryptographically tamper-proof.</w:t>
      </w:r>
    </w:p>
    <w:p>
      <w:pPr>
        <w:pStyle w:val="Compact"/>
        <w:numPr>
          <w:ilvl w:val="0"/>
          <w:numId w:val="1002"/>
        </w:numPr>
      </w:pPr>
      <w:r>
        <w:t xml:space="preserve">Local-only host binding in documented startup commands; restricted Vite CORS allowed origins for dev mode.</w:t>
      </w:r>
    </w:p>
    <w:bookmarkEnd w:id="22"/>
    <w:bookmarkStart w:id="23" w:name="d-threats-and-residual-risks"/>
    <w:p>
      <w:pPr>
        <w:pStyle w:val="Heading2"/>
        <w:keepNext/>
      </w:pPr>
      <w:r>
        <w:t xml:space="preserve">D. Threats and residual risks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8F4F0"/>
            <w:shd w:fill="E8F4F0"/>
          </w:tcPr>
          <w:p>
            <w:pPr>
              <w:pStyle w:val="Compact"/>
              <w:spacing w:after="20"/>
              <w:jc w:val="left"/>
            </w:pPr>
            <w:r>
              <w:rPr>
                <w:rFonts w:ascii="Aptos" w:hAnsi="Aptos"/>
                <w:sz w:val="14"/>
              </w:rPr>
              <w:t xml:space="preserve">Risk</w:t>
            </w:r>
          </w:p>
        </w:tc>
        <w:tc>
          <w:tcPr>
            <w:vAlign w:val="center"/>
            <w:shd w:fill="E8F4F0"/>
            <w:shd w:fill="E8F4F0"/>
          </w:tcPr>
          <w:p>
            <w:pPr>
              <w:pStyle w:val="Compact"/>
              <w:spacing w:after="20"/>
              <w:jc w:val="left"/>
            </w:pPr>
            <w:r>
              <w:rPr>
                <w:rFonts w:ascii="Aptos" w:hAnsi="Aptos"/>
                <w:sz w:val="14"/>
              </w:rPr>
              <w:t xml:space="preserve">Exposure</w:t>
            </w:r>
          </w:p>
        </w:tc>
        <w:tc>
          <w:tcPr>
            <w:vAlign w:val="center"/>
            <w:shd w:fill="E8F4F0"/>
            <w:shd w:fill="E8F4F0"/>
          </w:tcPr>
          <w:p>
            <w:pPr>
              <w:pStyle w:val="Compact"/>
              <w:spacing w:after="20"/>
              <w:jc w:val="left"/>
            </w:pPr>
            <w:r>
              <w:rPr>
                <w:rFonts w:ascii="Aptos" w:hAnsi="Aptos"/>
                <w:sz w:val="14"/>
              </w:rPr>
              <w:t xml:space="preserve">Mitigation / current status</w:t>
            </w:r>
          </w:p>
        </w:tc>
        <w:tc>
          <w:tcPr>
            <w:vAlign w:val="center"/>
            <w:shd w:fill="E8F4F0"/>
            <w:shd w:fill="E8F4F0"/>
          </w:tcPr>
          <w:p>
            <w:pPr>
              <w:pStyle w:val="Compact"/>
              <w:spacing w:after="20"/>
              <w:jc w:val="left"/>
            </w:pPr>
            <w:r>
              <w:rPr>
                <w:rFonts w:ascii="Aptos" w:hAnsi="Aptos"/>
                <w:sz w:val="14"/>
              </w:rPr>
              <w:t xml:space="preserve">Severity</w:t>
            </w:r>
          </w:p>
        </w:tc>
      </w:tr>
      <w:tr>
        <w:tc>
          <w:tcPr>
            <w:vAlign w:val="center"/>
          </w:tcPr>
          <w:p>
            <w:pPr>
              <w:pStyle w:val="Compact"/>
              <w:spacing w:after="20"/>
              <w:jc w:val="left"/>
            </w:pPr>
            <w:r>
              <w:rPr>
                <w:rFonts w:ascii="Aptos" w:hAnsi="Aptos"/>
                <w:sz w:val="14"/>
              </w:rPr>
              <w:t xml:space="preserve">Public API access without identity checks</w:t>
            </w:r>
          </w:p>
        </w:tc>
        <w:tc>
          <w:tcPr>
            <w:vAlign w:val="center"/>
          </w:tcPr>
          <w:p>
            <w:pPr>
              <w:pStyle w:val="Compact"/>
              <w:spacing w:after="20"/>
              <w:jc w:val="left"/>
            </w:pPr>
            <w:r>
              <w:rPr>
                <w:rFonts w:ascii="Aptos" w:hAnsi="Aptos"/>
                <w:sz w:val="14"/>
              </w:rPr>
              <w:t xml:space="preserve">Any person reaching port 8000 can edit demo records</w:t>
            </w:r>
          </w:p>
        </w:tc>
        <w:tc>
          <w:tcPr>
            <w:vAlign w:val="center"/>
          </w:tcPr>
          <w:p>
            <w:pPr>
              <w:pStyle w:val="Compact"/>
              <w:spacing w:after="20"/>
              <w:jc w:val="left"/>
            </w:pPr>
            <w:r>
              <w:rPr>
                <w:rFonts w:ascii="Aptos" w:hAnsi="Aptos"/>
                <w:sz w:val="14"/>
              </w:rPr>
              <w:t xml:space="preserve">BIND TO 127.0.0.1 ONLY; production authentication remains future work</w:t>
            </w:r>
          </w:p>
        </w:tc>
        <w:tc>
          <w:tcPr>
            <w:vAlign w:val="center"/>
          </w:tcPr>
          <w:p>
            <w:pPr>
              <w:pStyle w:val="Compact"/>
              <w:spacing w:after="20"/>
              <w:jc w:val="left"/>
            </w:pPr>
            <w:r>
              <w:rPr>
                <w:rFonts w:ascii="Aptos" w:hAnsi="Aptos"/>
                <w:sz w:val="14"/>
              </w:rPr>
              <w:t xml:space="preserve">High if publicly deployed</w:t>
            </w:r>
          </w:p>
        </w:tc>
      </w:tr>
      <w:tr>
        <w:tc>
          <w:tcPr>
            <w:vAlign w:val="center"/>
          </w:tcPr>
          <w:p>
            <w:pPr>
              <w:pStyle w:val="Compact"/>
              <w:spacing w:after="20"/>
              <w:jc w:val="left"/>
            </w:pPr>
            <w:r>
              <w:rPr>
                <w:rFonts w:ascii="Aptos" w:hAnsi="Aptos"/>
                <w:sz w:val="14"/>
              </w:rPr>
              <w:t xml:space="preserve">Prompt injection / unauthorized tools</w:t>
            </w:r>
          </w:p>
        </w:tc>
        <w:tc>
          <w:tcPr>
            <w:vAlign w:val="center"/>
          </w:tcPr>
          <w:p>
            <w:pPr>
              <w:pStyle w:val="Compact"/>
              <w:spacing w:after="20"/>
              <w:jc w:val="left"/>
            </w:pPr>
            <w:r>
              <w:rPr>
                <w:rFonts w:ascii="Aptos" w:hAnsi="Aptos"/>
                <w:sz w:val="14"/>
              </w:rPr>
              <w:t xml:space="preserve">Natural-language input could request a write</w:t>
            </w:r>
          </w:p>
        </w:tc>
        <w:tc>
          <w:tcPr>
            <w:vAlign w:val="center"/>
          </w:tcPr>
          <w:p>
            <w:pPr>
              <w:pStyle w:val="Compact"/>
              <w:spacing w:after="20"/>
              <w:jc w:val="left"/>
            </w:pPr>
            <w:r>
              <w:rPr>
                <w:rFonts w:ascii="Aptos" w:hAnsi="Aptos"/>
                <w:sz w:val="14"/>
              </w:rPr>
              <w:t xml:space="preserve">Server-side allowlist blocks unrecognized Gemini calls; test coverage exists</w:t>
            </w:r>
          </w:p>
        </w:tc>
        <w:tc>
          <w:tcPr>
            <w:vAlign w:val="center"/>
          </w:tcPr>
          <w:p>
            <w:pPr>
              <w:pStyle w:val="Compact"/>
              <w:spacing w:after="20"/>
              <w:jc w:val="left"/>
            </w:pPr>
            <w:r>
              <w:rPr>
                <w:rFonts w:ascii="Aptos" w:hAnsi="Aptos"/>
                <w:sz w:val="14"/>
              </w:rPr>
              <w:t xml:space="preserve">Medium, residual</w:t>
            </w:r>
          </w:p>
        </w:tc>
      </w:tr>
      <w:tr>
        <w:tc>
          <w:tcPr>
            <w:vAlign w:val="center"/>
          </w:tcPr>
          <w:p>
            <w:pPr>
              <w:pStyle w:val="Compact"/>
              <w:spacing w:after="20"/>
              <w:jc w:val="left"/>
            </w:pPr>
            <w:r>
              <w:rPr>
                <w:rFonts w:ascii="Aptos" w:hAnsi="Aptos"/>
                <w:sz w:val="14"/>
              </w:rPr>
              <w:t xml:space="preserve">LLM financial hallucination</w:t>
            </w:r>
          </w:p>
        </w:tc>
        <w:tc>
          <w:tcPr>
            <w:vAlign w:val="center"/>
          </w:tcPr>
          <w:p>
            <w:pPr>
              <w:pStyle w:val="Compact"/>
              <w:spacing w:after="20"/>
              <w:jc w:val="left"/>
            </w:pPr>
            <w:r>
              <w:rPr>
                <w:rFonts w:ascii="Aptos" w:hAnsi="Aptos"/>
                <w:sz w:val="14"/>
              </w:rPr>
              <w:t xml:space="preserve">Generated explanations might contradict figures</w:t>
            </w:r>
          </w:p>
        </w:tc>
        <w:tc>
          <w:tcPr>
            <w:vAlign w:val="center"/>
          </w:tcPr>
          <w:p>
            <w:pPr>
              <w:pStyle w:val="Compact"/>
              <w:spacing w:after="20"/>
              <w:jc w:val="left"/>
            </w:pPr>
            <w:r>
              <w:rPr>
                <w:rFonts w:ascii="Aptos" w:hAnsi="Aptos"/>
                <w:sz w:val="14"/>
              </w:rPr>
              <w:t xml:space="preserve">Decimal engine + trusted fact cards + numeric filtering; qualitative inaccuracies still possible</w:t>
            </w:r>
          </w:p>
        </w:tc>
        <w:tc>
          <w:tcPr>
            <w:vAlign w:val="center"/>
          </w:tcPr>
          <w:p>
            <w:pPr>
              <w:pStyle w:val="Compact"/>
              <w:spacing w:after="20"/>
              <w:jc w:val="left"/>
            </w:pPr>
            <w:r>
              <w:rPr>
                <w:rFonts w:ascii="Aptos" w:hAnsi="Aptos"/>
                <w:sz w:val="14"/>
              </w:rPr>
              <w:t xml:space="preserve">Medium</w:t>
            </w:r>
          </w:p>
        </w:tc>
      </w:tr>
      <w:tr>
        <w:tc>
          <w:tcPr>
            <w:vAlign w:val="center"/>
          </w:tcPr>
          <w:p>
            <w:pPr>
              <w:pStyle w:val="Compact"/>
              <w:spacing w:after="20"/>
              <w:jc w:val="left"/>
            </w:pPr>
            <w:r>
              <w:rPr>
                <w:rFonts w:ascii="Aptos" w:hAnsi="Aptos"/>
                <w:sz w:val="14"/>
              </w:rPr>
              <w:t xml:space="preserve">Sensitive key leaked to Git/frontend</w:t>
            </w:r>
          </w:p>
        </w:tc>
        <w:tc>
          <w:tcPr>
            <w:vAlign w:val="center"/>
          </w:tcPr>
          <w:p>
            <w:pPr>
              <w:pStyle w:val="Compact"/>
              <w:spacing w:after="20"/>
              <w:jc w:val="left"/>
            </w:pPr>
            <w:r>
              <w:rPr>
                <w:rFonts w:ascii="Aptos" w:hAnsi="Aptos"/>
                <w:sz w:val="14"/>
              </w:rPr>
              <w:t xml:space="preserve">Key reuse and billable API calls</w:t>
            </w:r>
          </w:p>
        </w:tc>
        <w:tc>
          <w:tcPr>
            <w:vAlign w:val="center"/>
          </w:tcPr>
          <w:p>
            <w:pPr>
              <w:pStyle w:val="Compact"/>
              <w:spacing w:after="20"/>
              <w:jc w:val="left"/>
            </w:pPr>
            <w:r>
              <w:rPr>
                <w:rFonts w:ascii="Aptos" w:hAnsi="Aptos"/>
                <w:sz w:val="14"/>
              </w:rPr>
              <w:t xml:space="preserve">Env vars,</w:t>
            </w:r>
            <w:r>
              <w:rPr>
                <w:rFonts w:ascii="Aptos" w:hAnsi="Aptos"/>
                <w:sz w:val="14"/>
              </w:rPr>
              <w:t xml:space="preserve"> </w:t>
            </w:r>
            <w:r>
              <w:rPr>
                <w:rStyle w:val="VerbatimChar"/>
                <w:rFonts w:ascii="Aptos" w:hAnsi="Aptos"/>
                <w:sz w:val="14"/>
              </w:rPr>
              <w:t xml:space="preserve">.gitignore</w:t>
            </w:r>
            <w:r>
              <w:rPr>
                <w:rFonts w:ascii="Aptos" w:hAnsi="Aptos"/>
                <w:sz w:val="14"/>
              </w:rPr>
              <w:t xml:space="preserve">, no key in ZIP; user must protect their local shell</w:t>
            </w:r>
          </w:p>
        </w:tc>
        <w:tc>
          <w:tcPr>
            <w:vAlign w:val="center"/>
          </w:tcPr>
          <w:p>
            <w:pPr>
              <w:pStyle w:val="Compact"/>
              <w:spacing w:after="20"/>
              <w:jc w:val="left"/>
            </w:pPr>
            <w:r>
              <w:rPr>
                <w:rFonts w:ascii="Aptos" w:hAnsi="Aptos"/>
                <w:sz w:val="14"/>
              </w:rPr>
              <w:t xml:space="preserve">High if misconfigured</w:t>
            </w:r>
          </w:p>
        </w:tc>
      </w:tr>
      <w:tr>
        <w:tc>
          <w:tcPr>
            <w:vAlign w:val="center"/>
          </w:tcPr>
          <w:p>
            <w:pPr>
              <w:pStyle w:val="Compact"/>
              <w:spacing w:after="20"/>
              <w:jc w:val="left"/>
            </w:pPr>
            <w:r>
              <w:rPr>
                <w:rFonts w:ascii="Aptos" w:hAnsi="Aptos"/>
                <w:sz w:val="14"/>
              </w:rPr>
              <w:t xml:space="preserve">Local data integrity</w:t>
            </w:r>
          </w:p>
        </w:tc>
        <w:tc>
          <w:tcPr>
            <w:vAlign w:val="center"/>
          </w:tcPr>
          <w:p>
            <w:pPr>
              <w:pStyle w:val="Compact"/>
              <w:spacing w:after="20"/>
              <w:jc w:val="left"/>
            </w:pPr>
            <w:r>
              <w:rPr>
                <w:rFonts w:ascii="Aptos" w:hAnsi="Aptos"/>
                <w:sz w:val="14"/>
              </w:rPr>
              <w:t xml:space="preserve">User actions mutate seeded data</w:t>
            </w:r>
          </w:p>
        </w:tc>
        <w:tc>
          <w:tcPr>
            <w:vAlign w:val="center"/>
          </w:tcPr>
          <w:p>
            <w:pPr>
              <w:pStyle w:val="Compact"/>
              <w:spacing w:after="20"/>
              <w:jc w:val="left"/>
            </w:pPr>
            <w:r>
              <w:rPr>
                <w:rFonts w:ascii="Aptos" w:hAnsi="Aptos"/>
                <w:sz w:val="14"/>
              </w:rPr>
              <w:t xml:space="preserve">Local SQLite, validation, reset button, audit trail; no authentication</w:t>
            </w:r>
          </w:p>
        </w:tc>
        <w:tc>
          <w:tcPr>
            <w:vAlign w:val="center"/>
          </w:tcPr>
          <w:p>
            <w:pPr>
              <w:pStyle w:val="Compact"/>
              <w:spacing w:after="20"/>
              <w:jc w:val="left"/>
            </w:pPr>
            <w:r>
              <w:rPr>
                <w:rFonts w:ascii="Aptos" w:hAnsi="Aptos"/>
                <w:sz w:val="14"/>
              </w:rPr>
              <w:t xml:space="preserve">Medium</w:t>
            </w:r>
          </w:p>
        </w:tc>
      </w:tr>
      <w:tr>
        <w:tc>
          <w:tcPr>
            <w:vAlign w:val="center"/>
          </w:tcPr>
          <w:p>
            <w:pPr>
              <w:pStyle w:val="Compact"/>
              <w:spacing w:after="20"/>
              <w:jc w:val="left"/>
            </w:pPr>
            <w:r>
              <w:rPr>
                <w:rFonts w:ascii="Aptos" w:hAnsi="Aptos"/>
                <w:sz w:val="14"/>
              </w:rPr>
              <w:t xml:space="preserve">Stale transfer quotes</w:t>
            </w:r>
          </w:p>
        </w:tc>
        <w:tc>
          <w:tcPr>
            <w:vAlign w:val="center"/>
          </w:tcPr>
          <w:p>
            <w:pPr>
              <w:pStyle w:val="Compact"/>
              <w:spacing w:after="20"/>
              <w:jc w:val="left"/>
            </w:pPr>
            <w:r>
              <w:rPr>
                <w:rFonts w:ascii="Aptos" w:hAnsi="Aptos"/>
                <w:sz w:val="14"/>
              </w:rPr>
              <w:t xml:space="preserve">Simulated quote mistaken for actionable market rate</w:t>
            </w:r>
          </w:p>
        </w:tc>
        <w:tc>
          <w:tcPr>
            <w:vAlign w:val="center"/>
          </w:tcPr>
          <w:p>
            <w:pPr>
              <w:pStyle w:val="Compact"/>
              <w:spacing w:after="20"/>
              <w:jc w:val="left"/>
            </w:pPr>
            <w:r>
              <w:rPr>
                <w:rFonts w:ascii="Aptos" w:hAnsi="Aptos"/>
                <w:sz w:val="14"/>
              </w:rPr>
              <w:t xml:space="preserve">SIMULATED notices, no actual transfer execution</w:t>
            </w:r>
          </w:p>
        </w:tc>
        <w:tc>
          <w:tcPr>
            <w:vAlign w:val="center"/>
          </w:tcPr>
          <w:p>
            <w:pPr>
              <w:pStyle w:val="Compact"/>
              <w:spacing w:after="20"/>
              <w:jc w:val="left"/>
            </w:pPr>
            <w:r>
              <w:rPr>
                <w:rFonts w:ascii="Aptos" w:hAnsi="Aptos"/>
                <w:sz w:val="14"/>
              </w:rPr>
              <w:t xml:space="preserve">Medium</w:t>
            </w:r>
          </w:p>
        </w:tc>
      </w:tr>
      <w:tr>
        <w:tc>
          <w:tcPr>
            <w:vAlign w:val="center"/>
          </w:tcPr>
          <w:p>
            <w:pPr>
              <w:pStyle w:val="Compact"/>
              <w:spacing w:after="20"/>
              <w:jc w:val="left"/>
            </w:pPr>
            <w:r>
              <w:rPr>
                <w:rFonts w:ascii="Aptos" w:hAnsi="Aptos"/>
                <w:sz w:val="14"/>
              </w:rPr>
              <w:t xml:space="preserve">External image requests</w:t>
            </w:r>
          </w:p>
        </w:tc>
        <w:tc>
          <w:tcPr>
            <w:vAlign w:val="center"/>
          </w:tcPr>
          <w:p>
            <w:pPr>
              <w:pStyle w:val="Compact"/>
              <w:spacing w:after="20"/>
              <w:jc w:val="left"/>
            </w:pPr>
            <w:r>
              <w:rPr>
                <w:rFonts w:ascii="Aptos" w:hAnsi="Aptos"/>
                <w:sz w:val="14"/>
              </w:rPr>
              <w:t xml:space="preserve">Hosted images contact Pexels CDN</w:t>
            </w:r>
          </w:p>
        </w:tc>
        <w:tc>
          <w:tcPr>
            <w:vAlign w:val="center"/>
          </w:tcPr>
          <w:p>
            <w:pPr>
              <w:pStyle w:val="Compact"/>
              <w:spacing w:after="20"/>
              <w:jc w:val="left"/>
            </w:pPr>
            <w:r>
              <w:rPr>
                <w:rFonts w:ascii="Aptos" w:hAnsi="Aptos"/>
                <w:sz w:val="14"/>
              </w:rPr>
              <w:t xml:space="preserve">Optionally cache Pexels images locally, or run with gradients</w:t>
            </w:r>
          </w:p>
        </w:tc>
        <w:tc>
          <w:tcPr>
            <w:vAlign w:val="center"/>
          </w:tcPr>
          <w:p>
            <w:pPr>
              <w:pStyle w:val="Compact"/>
              <w:spacing w:after="20"/>
              <w:jc w:val="left"/>
            </w:pPr>
            <w:r>
              <w:rPr>
                <w:rFonts w:ascii="Aptos" w:hAnsi="Aptos"/>
                <w:sz w:val="14"/>
              </w:rPr>
              <w:t xml:space="preserve">Low</w:t>
            </w:r>
          </w:p>
        </w:tc>
      </w:tr>
      <w:tr>
        <w:tc>
          <w:tcPr>
            <w:vAlign w:val="center"/>
          </w:tcPr>
          <w:p>
            <w:pPr>
              <w:pStyle w:val="Compact"/>
              <w:spacing w:after="20"/>
              <w:jc w:val="left"/>
            </w:pPr>
            <w:r>
              <w:rPr>
                <w:rFonts w:ascii="Aptos" w:hAnsi="Aptos"/>
                <w:sz w:val="14"/>
              </w:rPr>
              <w:t xml:space="preserve">API/network errors</w:t>
            </w:r>
          </w:p>
        </w:tc>
        <w:tc>
          <w:tcPr>
            <w:vAlign w:val="center"/>
          </w:tcPr>
          <w:p>
            <w:pPr>
              <w:pStyle w:val="Compact"/>
              <w:spacing w:after="20"/>
              <w:jc w:val="left"/>
            </w:pPr>
            <w:r>
              <w:rPr>
                <w:rFonts w:ascii="Aptos" w:hAnsi="Aptos"/>
                <w:sz w:val="14"/>
              </w:rPr>
              <w:t xml:space="preserve">Gemini latency, quota or outage</w:t>
            </w:r>
          </w:p>
        </w:tc>
        <w:tc>
          <w:tcPr>
            <w:vAlign w:val="center"/>
          </w:tcPr>
          <w:p>
            <w:pPr>
              <w:pStyle w:val="Compact"/>
              <w:spacing w:after="20"/>
              <w:jc w:val="left"/>
            </w:pPr>
            <w:r>
              <w:rPr>
                <w:rFonts w:ascii="Aptos" w:hAnsi="Aptos"/>
                <w:sz w:val="14"/>
              </w:rPr>
              <w:t xml:space="preserve">Labeled offline local guidance; deterministic core still works</w:t>
            </w:r>
          </w:p>
        </w:tc>
        <w:tc>
          <w:tcPr>
            <w:vAlign w:val="center"/>
          </w:tcPr>
          <w:p>
            <w:pPr>
              <w:pStyle w:val="Compact"/>
              <w:spacing w:after="20"/>
              <w:jc w:val="left"/>
            </w:pPr>
            <w:r>
              <w:rPr>
                <w:rFonts w:ascii="Aptos" w:hAnsi="Aptos"/>
                <w:sz w:val="14"/>
              </w:rPr>
              <w:t xml:space="preserve">Low</w:t>
            </w:r>
          </w:p>
        </w:tc>
      </w:tr>
      <w:tr>
        <w:tc>
          <w:tcPr>
            <w:vAlign w:val="center"/>
          </w:tcPr>
          <w:p>
            <w:pPr>
              <w:pStyle w:val="Compact"/>
              <w:spacing w:after="20"/>
              <w:jc w:val="left"/>
            </w:pPr>
            <w:r>
              <w:rPr>
                <w:rFonts w:ascii="Aptos" w:hAnsi="Aptos"/>
                <w:sz w:val="14"/>
              </w:rPr>
              <w:t xml:space="preserve">Audit log integrity</w:t>
            </w:r>
          </w:p>
        </w:tc>
        <w:tc>
          <w:tcPr>
            <w:vAlign w:val="center"/>
          </w:tcPr>
          <w:p>
            <w:pPr>
              <w:pStyle w:val="Compact"/>
              <w:spacing w:after="20"/>
              <w:jc w:val="left"/>
            </w:pPr>
            <w:r>
              <w:rPr>
                <w:rFonts w:ascii="Aptos" w:hAnsi="Aptos"/>
                <w:sz w:val="14"/>
              </w:rPr>
              <w:t xml:space="preserve">Local records could be edited</w:t>
            </w:r>
          </w:p>
        </w:tc>
        <w:tc>
          <w:tcPr>
            <w:vAlign w:val="center"/>
          </w:tcPr>
          <w:p>
            <w:pPr>
              <w:pStyle w:val="Compact"/>
              <w:spacing w:after="20"/>
              <w:jc w:val="left"/>
            </w:pPr>
            <w:r>
              <w:rPr>
                <w:rFonts w:ascii="Aptos" w:hAnsi="Aptos"/>
                <w:sz w:val="14"/>
              </w:rPr>
              <w:t xml:space="preserve">Log is evidentiary convenience, not immutable attestation</w:t>
            </w:r>
          </w:p>
        </w:tc>
        <w:tc>
          <w:tcPr>
            <w:vAlign w:val="center"/>
          </w:tcPr>
          <w:p>
            <w:pPr>
              <w:pStyle w:val="Compact"/>
              <w:spacing w:after="20"/>
              <w:jc w:val="left"/>
            </w:pPr>
            <w:r>
              <w:rPr>
                <w:rFonts w:ascii="Aptos" w:hAnsi="Aptos"/>
                <w:sz w:val="14"/>
              </w:rPr>
              <w:t xml:space="preserve">Medium</w:t>
            </w:r>
          </w:p>
        </w:tc>
      </w:tr>
    </w:tbl>
    <w:bookmarkEnd w:id="23"/>
    <w:bookmarkStart w:id="24" w:name="X601f54facd47af1e588513624ea377165f7d9c1"/>
    <w:p>
      <w:pPr>
        <w:pStyle w:val="Heading2"/>
        <w:keepNext/>
      </w:pPr>
      <w:r>
        <w:t xml:space="preserve">E. Suggested reproducible security evidence</w:t>
      </w:r>
    </w:p>
    <w:p>
      <w:pPr>
        <w:pStyle w:val="Compact"/>
        <w:numPr>
          <w:ilvl w:val="0"/>
          <w:numId w:val="1003"/>
        </w:numPr>
      </w:pPr>
      <w:r>
        <w:t xml:space="preserve">Run</w:t>
      </w:r>
      <w:r>
        <w:t xml:space="preserve"> </w:t>
      </w:r>
      <w:r>
        <w:rPr>
          <w:rStyle w:val="VerbatimChar"/>
        </w:rPr>
        <w:t xml:space="preserve">py -m pytest -q</w:t>
      </w:r>
      <w:r>
        <w:t xml:space="preserve"> </w:t>
      </w:r>
      <w:r>
        <w:t xml:space="preserve">from</w:t>
      </w:r>
      <w:r>
        <w:t xml:space="preserve"> </w:t>
      </w:r>
      <w:r>
        <w:rPr>
          <w:rStyle w:val="VerbatimChar"/>
        </w:rPr>
        <w:t xml:space="preserve">backend</w:t>
      </w:r>
      <w:r>
        <w:t xml:space="preserve"> </w:t>
      </w:r>
      <w:r>
        <w:t xml:space="preserve">and attach exact stdout, Python/package versions and timestamps.</w:t>
      </w:r>
    </w:p>
    <w:p>
      <w:pPr>
        <w:pStyle w:val="Compact"/>
        <w:numPr>
          <w:ilvl w:val="0"/>
          <w:numId w:val="1003"/>
        </w:numPr>
      </w:pPr>
      <w:r>
        <w:t xml:space="preserve">Use Gemini prompt attempting to mark an incoming transfer as settled. Confirm no corresponding write tool exists, inspect the logged blocked attempt.</w:t>
      </w:r>
    </w:p>
    <w:p>
      <w:pPr>
        <w:pStyle w:val="Compact"/>
        <w:numPr>
          <w:ilvl w:val="0"/>
          <w:numId w:val="1003"/>
        </w:numPr>
      </w:pPr>
      <w:r>
        <w:t xml:space="preserve">Submit invalid</w:t>
      </w:r>
      <w:r>
        <w:t xml:space="preserve"> </w:t>
      </w:r>
      <w:r>
        <w:rPr>
          <w:rStyle w:val="VerbatimChar"/>
        </w:rPr>
        <w:t xml:space="preserve">NaN</w:t>
      </w:r>
      <w:r>
        <w:t xml:space="preserve">,</w:t>
      </w:r>
      <w:r>
        <w:t xml:space="preserve"> </w:t>
      </w:r>
      <w:r>
        <w:rPr>
          <w:rStyle w:val="VerbatimChar"/>
        </w:rPr>
        <w:t xml:space="preserve">Infinity</w:t>
      </w:r>
      <w:r>
        <w:t xml:space="preserve">, nonnumeric and enormous money inputs: HTTP 422, no storage mutation.</w:t>
      </w:r>
    </w:p>
    <w:p>
      <w:pPr>
        <w:pStyle w:val="Compact"/>
        <w:numPr>
          <w:ilvl w:val="0"/>
          <w:numId w:val="1003"/>
        </w:numPr>
      </w:pPr>
      <w:r>
        <w:t xml:space="preserve">Ask a what-if question with an arrival date, open ProofCard and verify scenario alignment; compare SQLite records before and after.</w:t>
      </w:r>
    </w:p>
    <w:p>
      <w:pPr>
        <w:pStyle w:val="Compact"/>
        <w:numPr>
          <w:ilvl w:val="0"/>
          <w:numId w:val="1003"/>
        </w:numPr>
      </w:pPr>
      <w:r>
        <w:t xml:space="preserve">Open</w:t>
      </w:r>
      <w:r>
        <w:t xml:space="preserve"> </w:t>
      </w:r>
      <w:r>
        <w:rPr>
          <w:rStyle w:val="VerbatimChar"/>
        </w:rPr>
        <w:t xml:space="preserve">/api/agent/status</w:t>
      </w:r>
      <w:r>
        <w:t xml:space="preserve">: no API key value must appear.</w:t>
      </w:r>
    </w:p>
    <w:p>
      <w:pPr>
        <w:pStyle w:val="Compact"/>
        <w:numPr>
          <w:ilvl w:val="0"/>
          <w:numId w:val="1003"/>
        </w:numPr>
      </w:pPr>
      <w:r>
        <w:t xml:space="preserve">Run Chaos Lab: report actual pass/fail per test, not just the expected values.</w:t>
      </w:r>
    </w:p>
    <w:p>
      <w:pPr>
        <w:pStyle w:val="Compact"/>
        <w:numPr>
          <w:ilvl w:val="0"/>
          <w:numId w:val="1003"/>
        </w:numPr>
      </w:pPr>
      <w:r>
        <w:t xml:space="preserve">Use the app's edit and approve buttons to demonstrate human interaction; acknowledge that direct API access remains unprotected in the local prototype.</w:t>
      </w:r>
    </w:p>
    <w:bookmarkEnd w:id="24"/>
    <w:bookmarkStart w:id="25" w:name="f-production-requirements-not-delivered"/>
    <w:p>
      <w:pPr>
        <w:pStyle w:val="Heading2"/>
        <w:keepNext/>
      </w:pPr>
      <w:r>
        <w:t xml:space="preserve">F. Production requirements not delivered</w:t>
      </w:r>
    </w:p>
    <w:p>
      <w:pPr>
        <w:pStyle w:val="FirstParagraph"/>
        <w:keepLines/>
      </w:pPr>
      <w:r>
        <w:t xml:space="preserve">Authenticated sessions, authorization per student, persistent user accounts, CSRF protection, host/origin hardening beyond local development, API request rate limiting, threat monitoring, encrypted financial records, account deletion and retention policy, formal penetration tests, financial regulatory review, accessibility certification, real payment partner integration and verified bank connectivity.</w:t>
      </w:r>
    </w:p>
    <w:p>
      <w:pPr>
        <w:pStyle w:val="BodyText"/>
        <w:keepLines/>
      </w:pPr>
      <w:r>
        <w:rPr>
          <w:b/>
          <w:bCs/>
        </w:rPr>
        <w:t xml:space="preserve">Conclusion:</w:t>
      </w:r>
      <w:r>
        <w:t xml:space="preserve"> </w:t>
      </w:r>
      <w:r>
        <w:t xml:space="preserve">Adequate for a transparent</w:t>
      </w:r>
      <w:r>
        <w:t xml:space="preserve"> </w:t>
      </w:r>
      <w:r>
        <w:rPr>
          <w:b/>
          <w:bCs/>
        </w:rPr>
        <w:t xml:space="preserve">local synthetic demonstration</w:t>
      </w:r>
      <w:r>
        <w:t xml:space="preserve">, with important explicit limitations. Not appropriate for publicly deployed or real-money use.</w:t>
      </w:r>
    </w:p>
    <w:bookmarkEnd w:id="25"/>
    <w:bookmarkEnd w:id="26"/>
    <w:sectPr>
      <w:headerReference w:type="default" r:id="rId9"/>
      <w:footerReference w:type="default" r:id="rId10"/>
      <w:pgSz w:w="11909" w:h="16834"/>
      <w:pgMar w:top="950" w:bottom="950" w:left="1253" w:right="1253" w:header="547"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875"/>
        <w:sz w:val="14"/>
      </w:rPr>
      <w:t>FinTechathon 2026    ·    Synthetic-data local prototype    ·    Phase 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E7C7B"/>
        <w:sz w:val="16"/>
      </w:rPr>
      <w:t>CAMPUSFIN AI     /     PREDICT  ·  RESCUE  ·  PROVE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0" w:line="257" w:lineRule="auto"/>
    </w:pPr>
    <w:rPr>
      <w:rFonts w:ascii="Aptos" w:hAnsi="Aptos"/>
      <w:color w:val="263B42"/>
      <w:sz w:val="17"/>
    </w:rPr>
  </w:style>
  <w:style w:styleId="BodyText" w:type="paragraph">
    <w:name w:val="Body Text"/>
    <w:basedOn w:val="Normal"/>
    <w:link w:val="BodyTextChar"/>
    <w:qFormat/>
    <w:pPr>
      <w:spacing w:after="70" w:before="180" w:line="257" w:lineRule="auto"/>
    </w:pPr>
    <w:rPr>
      <w:rFonts w:ascii="Aptos" w:hAnsi="Aptos"/>
      <w:color w:val="263B42"/>
      <w:sz w:val="17"/>
    </w:rPr>
  </w:style>
  <w:style w:customStyle="1" w:styleId="FirstParagraph" w:type="paragraph">
    <w:name w:val="First Paragraph"/>
    <w:basedOn w:val="BodyText"/>
    <w:next w:val="BodyText"/>
    <w:qFormat/>
    <w:pPr>
      <w:spacing w:after="70" w:line="257" w:lineRule="auto"/>
    </w:pPr>
    <w:rPr>
      <w:rFonts w:ascii="Aptos" w:hAnsi="Aptos"/>
      <w:color w:val="263B42"/>
      <w:sz w:val="17"/>
    </w:rPr>
  </w:style>
  <w:style w:customStyle="1" w:styleId="Compact" w:type="paragraph">
    <w:name w:val="Compact"/>
    <w:basedOn w:val="BodyText"/>
    <w:qFormat/>
    <w:pPr>
      <w:spacing w:after="70" w:before="36" w:line="257" w:lineRule="auto"/>
    </w:pPr>
    <w:rPr>
      <w:rFonts w:ascii="Aptos" w:hAnsi="Aptos"/>
      <w:color w:val="263B42"/>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val="14212B"/>
      <w:sz w:val="44"/>
      <w:szCs w:val="36"/>
    </w:rPr>
  </w:style>
  <w:style w:styleId="Subtitle" w:type="paragraph">
    <w:name w:val="Subtitle"/>
    <w:basedOn w:val="Title"/>
    <w:next w:val="BodyText"/>
    <w:qFormat/>
    <w:pPr>
      <w:keepNext/>
      <w:keepLines/>
      <w:spacing w:after="240" w:before="240"/>
      <w:jc w:val="center"/>
    </w:pPr>
    <w:rPr>
      <w:rFonts w:ascii="Aptos" w:hAnsi="Aptos"/>
      <w:sz w:val="30"/>
      <w:szCs w:val="30"/>
    </w:rPr>
  </w:style>
  <w:style w:customStyle="1" w:styleId="Author" w:type="paragraph">
    <w:name w:val="Author"/>
    <w:next w:val="BodyText"/>
    <w:qFormat/>
    <w:pPr>
      <w:keepNext/>
      <w:keepLines/>
      <w:jc w:val="center"/>
    </w:pPr>
    <w:rPr>
      <w:rFonts w:ascii="Aptos" w:hAnsi="Aptos"/>
    </w:rPr>
  </w:style>
  <w:style w:styleId="Date" w:type="paragraph">
    <w:name w:val="Date"/>
    <w:next w:val="BodyText"/>
    <w:qFormat/>
    <w:pPr>
      <w:keepNext/>
      <w:keepLines/>
      <w:jc w:val="center"/>
    </w:pPr>
    <w:rPr>
      <w:rFonts w:ascii="Aptos" w:hAnsi="Aptos"/>
    </w:rPr>
  </w:style>
  <w:style w:customStyle="1" w:styleId="AbstractTitle" w:type="paragraph">
    <w:name w:val="Abstract Title"/>
    <w:basedOn w:val="Normal"/>
    <w:next w:val="Abstract"/>
    <w:qFormat/>
    <w:pPr>
      <w:keepNext/>
      <w:keepLines/>
      <w:spacing w:after="0" w:before="300"/>
      <w:jc w:val="center"/>
    </w:pPr>
    <w:rPr>
      <w:rFonts w:ascii="Aptos" w:hAnsi="Aptos"/>
      <w:b/>
      <w:color w:val="345A8A"/>
      <w:sz w:val="20"/>
      <w:szCs w:val="20"/>
    </w:rPr>
  </w:style>
  <w:style w:customStyle="1" w:styleId="Abstract" w:type="paragraph">
    <w:name w:val="Abstract"/>
    <w:basedOn w:val="Normal"/>
    <w:next w:val="BodyText"/>
    <w:qFormat/>
    <w:pPr>
      <w:keepNext/>
      <w:keepLines/>
      <w:spacing w:after="300" w:before="100"/>
    </w:pPr>
    <w:rPr>
      <w:rFonts w:ascii="Aptos" w:hAnsi="Aptos"/>
      <w:sz w:val="20"/>
      <w:szCs w:val="20"/>
    </w:rPr>
  </w:style>
  <w:style w:styleId="Bibliography" w:type="paragraph">
    <w:name w:val="Bibliography"/>
    <w:basedOn w:val="Normal"/>
    <w:next w:val="Bibliography"/>
    <w:qFormat/>
    <w:pPr/>
    <w:rPr>
      <w:rFonts w:ascii="Aptos" w:hAnsi="Aptos"/>
    </w:rPr>
  </w:style>
  <w:style w:styleId="Heading1" w:type="paragraph">
    <w:name w:val="Heading 1"/>
    <w:basedOn w:val="Normal"/>
    <w:next w:val="BodyText"/>
    <w:uiPriority w:val="9"/>
    <w:qFormat/>
    <w:pPr>
      <w:keepNext/>
      <w:keepLines/>
      <w:spacing w:after="60" w:before="160"/>
      <w:outlineLvl w:val="0"/>
    </w:pPr>
    <w:rPr>
      <w:rFonts w:asciiTheme="majorHAnsi" w:cstheme="majorBidi" w:eastAsiaTheme="majorEastAsia" w:hAnsiTheme="majorHAnsi" w:ascii="Aptos" w:hAnsi="Aptos"/>
      <w:b/>
      <w:bCs/>
      <w:color w:val="0E7C7B"/>
      <w:sz w:val="30"/>
      <w:szCs w:val="32"/>
    </w:rPr>
  </w:style>
  <w:style w:styleId="Heading2" w:type="paragraph">
    <w:name w:val="Heading 2"/>
    <w:basedOn w:val="Normal"/>
    <w:next w:val="BodyText"/>
    <w:uiPriority w:val="9"/>
    <w:unhideWhenUsed/>
    <w:qFormat/>
    <w:pPr>
      <w:keepNext/>
      <w:keepLines/>
      <w:spacing w:after="60" w:before="160"/>
      <w:outlineLvl w:val="1"/>
    </w:pPr>
    <w:rPr>
      <w:rFonts w:asciiTheme="majorHAnsi" w:cstheme="majorBidi" w:eastAsiaTheme="majorEastAsia" w:hAnsiTheme="majorHAnsi" w:ascii="Aptos" w:hAnsi="Aptos"/>
      <w:b/>
      <w:bCs/>
      <w:color w:val="14212B"/>
      <w:sz w:val="22"/>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14212B"/>
      <w:sz w:val="20"/>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ascii="Aptos" w:hAnsi="Aptos"/>
      <w:b/>
      <w:bCs/>
      <w:i/>
      <w:color w:val="14212B"/>
      <w:sz w:val="20"/>
      <w:szCs w:val="24"/>
    </w:rPr>
  </w:style>
  <w:style w:styleId="Heading5" w:type="paragraph">
    <w:name w:val="Heading 5"/>
    <w:basedOn w:val="Normal"/>
    <w:next w:val="BodyText"/>
    <w:uiPriority w:val="9"/>
    <w:unhideWhenUsed/>
    <w:qFormat/>
    <w:pPr>
      <w:keepNext/>
      <w:keepLines/>
      <w:spacing w:after="60" w:before="160"/>
      <w:outlineLvl w:val="4"/>
    </w:pPr>
    <w:rPr>
      <w:rFonts w:asciiTheme="majorHAnsi" w:cstheme="majorBidi" w:eastAsiaTheme="majorEastAsia" w:hAnsiTheme="majorHAnsi" w:ascii="Aptos" w:hAnsi="Aptos"/>
      <w:b/>
      <w:iCs/>
      <w:color w:val="14212B"/>
      <w:sz w:val="20"/>
      <w:szCs w:val="24"/>
    </w:rPr>
  </w:style>
  <w:style w:styleId="Heading6" w:type="paragraph">
    <w:name w:val="Heading 6"/>
    <w:basedOn w:val="Normal"/>
    <w:next w:val="BodyText"/>
    <w:uiPriority w:val="9"/>
    <w:unhideWhenUsed/>
    <w:qFormat/>
    <w:pPr>
      <w:keepNext/>
      <w:keepLines/>
      <w:spacing w:after="60" w:before="160"/>
      <w:outlineLvl w:val="5"/>
    </w:pPr>
    <w:rPr>
      <w:rFonts w:asciiTheme="majorHAnsi" w:cstheme="majorBidi" w:eastAsiaTheme="majorEastAsia" w:hAnsiTheme="majorHAnsi" w:ascii="Aptos" w:hAnsi="Aptos"/>
      <w:b/>
      <w:color w:val="14212B"/>
      <w:sz w:val="20"/>
      <w:szCs w:val="24"/>
    </w:rPr>
  </w:style>
  <w:style w:styleId="Heading7" w:type="paragraph">
    <w:name w:val="Heading 7"/>
    <w:basedOn w:val="Normal"/>
    <w:next w:val="BodyText"/>
    <w:uiPriority w:val="9"/>
    <w:unhideWhenUsed/>
    <w:qFormat/>
    <w:pPr>
      <w:keepNext/>
      <w:keepLines/>
      <w:spacing w:after="60" w:before="160"/>
      <w:outlineLvl w:val="6"/>
    </w:pPr>
    <w:rPr>
      <w:rFonts w:asciiTheme="majorHAnsi" w:cstheme="majorBidi" w:eastAsiaTheme="majorEastAsia" w:hAnsiTheme="majorHAnsi" w:ascii="Aptos" w:hAnsi="Aptos"/>
      <w:b/>
      <w:color w:val="14212B"/>
      <w:sz w:val="20"/>
      <w:szCs w:val="24"/>
    </w:rPr>
  </w:style>
  <w:style w:styleId="Heading8" w:type="paragraph">
    <w:name w:val="Heading 8"/>
    <w:basedOn w:val="Normal"/>
    <w:next w:val="BodyText"/>
    <w:uiPriority w:val="9"/>
    <w:unhideWhenUsed/>
    <w:qFormat/>
    <w:pPr>
      <w:keepNext/>
      <w:keepLines/>
      <w:spacing w:after="60" w:before="160"/>
      <w:outlineLvl w:val="7"/>
    </w:pPr>
    <w:rPr>
      <w:rFonts w:asciiTheme="majorHAnsi" w:cstheme="majorBidi" w:eastAsiaTheme="majorEastAsia" w:hAnsiTheme="majorHAnsi" w:ascii="Aptos" w:hAnsi="Aptos"/>
      <w:b/>
      <w:color w:val="14212B"/>
      <w:sz w:val="20"/>
      <w:szCs w:val="24"/>
    </w:rPr>
  </w:style>
  <w:style w:styleId="Heading9" w:type="paragraph">
    <w:name w:val="Heading 9"/>
    <w:basedOn w:val="Normal"/>
    <w:next w:val="BodyText"/>
    <w:uiPriority w:val="9"/>
    <w:unhideWhenUsed/>
    <w:qFormat/>
    <w:pPr>
      <w:keepNext/>
      <w:keepLines/>
      <w:spacing w:after="60" w:before="160"/>
      <w:outlineLvl w:val="8"/>
    </w:pPr>
    <w:rPr>
      <w:rFonts w:asciiTheme="majorHAnsi" w:cstheme="majorBidi" w:eastAsiaTheme="majorEastAsia" w:hAnsiTheme="majorHAnsi" w:ascii="Aptos" w:hAnsi="Aptos"/>
      <w:b/>
      <w:color w:val="14212B"/>
      <w:sz w:val="20"/>
      <w:szCs w:val="24"/>
    </w:rPr>
  </w:style>
  <w:style w:styleId="BlockText" w:type="paragraph">
    <w:name w:val="Block Text"/>
    <w:basedOn w:val="BodyText"/>
    <w:next w:val="BodyText"/>
    <w:uiPriority w:val="9"/>
    <w:unhideWhenUsed/>
    <w:qFormat/>
    <w:pPr>
      <w:spacing w:after="70" w:before="100" w:line="257" w:lineRule="auto"/>
      <w:ind w:firstLine="0" w:left="480" w:right="480"/>
    </w:pPr>
    <w:rPr>
      <w:rFonts w:ascii="Aptos" w:hAnsi="Aptos"/>
      <w:color w:val="263B42"/>
      <w:sz w:val="17"/>
    </w:rPr>
  </w:style>
  <w:style w:styleId="FootnoteText" w:type="paragraph">
    <w:name w:val="Footnote Text"/>
    <w:basedOn w:val="Normal"/>
    <w:next w:val="FootnoteText"/>
    <w:uiPriority w:val="9"/>
    <w:unhideWhenUsed/>
    <w:qFormat/>
    <w:rPr>
      <w:rFonts w:ascii="Aptos" w:hAnsi="Aptos"/>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Aptos" w:hAnsi="Aptos"/>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b/>
    </w:rPr>
  </w:style>
  <w:style w:customStyle="1" w:styleId="Definition" w:type="paragraph">
    <w:name w:val="Definition"/>
    <w:basedOn w:val="Normal"/>
    <w:rPr>
      <w:rFonts w:ascii="Aptos" w:hAnsi="Aptos"/>
    </w:rPr>
  </w:style>
  <w:style w:styleId="Caption" w:type="paragraph">
    <w:name w:val="Caption"/>
    <w:basedOn w:val="Normal"/>
    <w:link w:val="BodyTextChar"/>
    <w:pPr>
      <w:spacing w:after="120" w:before="0"/>
    </w:pPr>
    <w:rPr>
      <w:rFonts w:ascii="Aptos" w:hAnsi="Aptos"/>
      <w:i/>
    </w:rPr>
  </w:style>
  <w:style w:customStyle="1" w:styleId="TableCaption" w:type="paragraph">
    <w:name w:val="Table Caption"/>
    <w:basedOn w:val="Caption"/>
    <w:pPr>
      <w:keepNext/>
    </w:pPr>
    <w:rPr>
      <w:rFonts w:ascii="Aptos" w:hAnsi="Aptos"/>
    </w:rPr>
  </w:style>
  <w:style w:customStyle="1" w:styleId="ImageCaption" w:type="paragraph">
    <w:name w:val="Image Caption"/>
    <w:basedOn w:val="Caption"/>
    <w:rPr>
      <w:rFonts w:ascii="Aptos" w:hAnsi="Aptos"/>
    </w:rPr>
  </w:style>
  <w:style w:customStyle="1" w:styleId="Figure" w:type="paragraph">
    <w:name w:val="Figure"/>
    <w:basedOn w:val="Normal"/>
    <w:rPr>
      <w:rFonts w:ascii="Aptos" w:hAnsi="Aptos"/>
    </w:rPr>
  </w:style>
  <w:style w:customStyle="1" w:styleId="CaptionedFigure" w:type="paragraph">
    <w:name w:val="Captioned Figure"/>
    <w:basedOn w:val="Figure"/>
    <w:pPr>
      <w:keepNext/>
    </w:pPr>
    <w:rPr>
      <w:rFonts w:ascii="Aptos" w:hAnsi="Aptos"/>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b w:val="0"/>
      <w:bCs w:val="0"/>
      <w:color w:themeColor="accent1" w:themeShade="BF" w:val="365F91"/>
    </w:rPr>
  </w:style>
  <w:style w:type="paragraph" w:customStyle="1" w:styleId="SourceCode">
    <w:name w:val="Source Code"/>
    <w:basedOn w:val="Normal"/>
    <w:link w:val="VerbatimChar"/>
    <w:pPr>
      <w:wordWrap w:val="off"/>
    </w:pPr>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2026-10-18T19:52:11Z</dcterms:created>
  <dcterms:modified xsi:type="dcterms:W3CDTF">2026-10-18T19:52:11Z</dcterms:modified>
</cp:coreProperties>
</file>

<file path=docProps/custom.xml><?xml version="1.0" encoding="utf-8"?>
<Properties xmlns="http://schemas.openxmlformats.org/officeDocument/2006/custom-properties" xmlns:vt="http://schemas.openxmlformats.org/officeDocument/2006/docPropsVTypes"/>
</file>