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FA0DF" w14:textId="4A90109A" w:rsidR="007C2819" w:rsidRPr="009412D4" w:rsidRDefault="007C2819" w:rsidP="00D11C21">
      <w:pPr>
        <w:jc w:val="center"/>
        <w:rPr>
          <w:rFonts w:ascii="Aptos" w:eastAsia="Aptos" w:hAnsi="Aptos" w:cs="Aptos"/>
          <w:b/>
          <w:bCs/>
        </w:rPr>
      </w:pPr>
      <w:r w:rsidRPr="009412D4">
        <w:rPr>
          <w:rFonts w:ascii="Aptos" w:eastAsia="Aptos" w:hAnsi="Aptos" w:cs="Aptos"/>
          <w:b/>
          <w:bCs/>
        </w:rPr>
        <w:t>DSC-640 Data Presentation &amp; Visualization</w:t>
      </w:r>
    </w:p>
    <w:p w14:paraId="082B8034" w14:textId="13D9BDA3" w:rsidR="007C2819" w:rsidRPr="009412D4" w:rsidRDefault="007C2819" w:rsidP="00D11C21">
      <w:pPr>
        <w:jc w:val="center"/>
        <w:rPr>
          <w:rFonts w:ascii="Aptos" w:eastAsia="Aptos" w:hAnsi="Aptos" w:cs="Aptos"/>
          <w:b/>
          <w:bCs/>
        </w:rPr>
      </w:pPr>
      <w:r w:rsidRPr="009412D4">
        <w:rPr>
          <w:rFonts w:ascii="Aptos" w:eastAsia="Aptos" w:hAnsi="Aptos" w:cs="Aptos"/>
          <w:b/>
          <w:bCs/>
        </w:rPr>
        <w:t>Chitramoy Mukherjee, DSC-640 T301</w:t>
      </w:r>
    </w:p>
    <w:p w14:paraId="444635E4" w14:textId="77777777" w:rsidR="007C2819" w:rsidRPr="009412D4" w:rsidRDefault="007C2819" w:rsidP="00D11C21">
      <w:pPr>
        <w:jc w:val="center"/>
        <w:rPr>
          <w:rFonts w:ascii="Aptos" w:eastAsia="Aptos" w:hAnsi="Aptos" w:cs="Aptos"/>
          <w:b/>
          <w:bCs/>
        </w:rPr>
      </w:pPr>
      <w:r w:rsidRPr="009412D4">
        <w:rPr>
          <w:rFonts w:ascii="Aptos" w:eastAsia="Aptos" w:hAnsi="Aptos" w:cs="Aptos"/>
          <w:b/>
          <w:bCs/>
        </w:rPr>
        <w:t>Project Milestone-1</w:t>
      </w:r>
    </w:p>
    <w:p w14:paraId="6AD66360" w14:textId="11AA2B57" w:rsidR="008B7C9F" w:rsidRPr="009412D4" w:rsidRDefault="005B41E8" w:rsidP="005B41E8">
      <w:pPr>
        <w:ind w:left="1440" w:firstLine="720"/>
        <w:rPr>
          <w:b/>
          <w:bCs/>
          <w:u w:val="single"/>
        </w:rPr>
      </w:pPr>
      <w:r w:rsidRPr="009412D4">
        <w:rPr>
          <w:rFonts w:ascii="Aptos" w:eastAsia="Aptos" w:hAnsi="Aptos" w:cs="Aptos"/>
          <w:b/>
          <w:bCs/>
          <w:u w:val="single"/>
        </w:rPr>
        <w:t>U</w:t>
      </w:r>
      <w:r w:rsidRPr="009412D4">
        <w:rPr>
          <w:rFonts w:ascii="Aptos" w:eastAsia="Aptos" w:hAnsi="Aptos" w:cs="Aptos"/>
          <w:b/>
          <w:bCs/>
          <w:u w:val="single"/>
        </w:rPr>
        <w:t>rgent need for affordable childcare solutions</w:t>
      </w:r>
      <w:r w:rsidR="009412D4" w:rsidRPr="009412D4">
        <w:rPr>
          <w:rFonts w:ascii="Aptos" w:eastAsia="Aptos" w:hAnsi="Aptos" w:cs="Aptos"/>
          <w:b/>
          <w:bCs/>
          <w:u w:val="single"/>
        </w:rPr>
        <w:t xml:space="preserve"> in US</w:t>
      </w:r>
    </w:p>
    <w:p w14:paraId="541889D5" w14:textId="77777777" w:rsidR="00CA4008" w:rsidRPr="00CA4008" w:rsidRDefault="00CA4008" w:rsidP="00CA4008">
      <w:pPr>
        <w:rPr>
          <w:b/>
          <w:bCs/>
        </w:rPr>
      </w:pPr>
      <w:r w:rsidRPr="00CA4008">
        <w:rPr>
          <w:b/>
          <w:bCs/>
        </w:rPr>
        <w:t>Summary of Analysis</w:t>
      </w:r>
    </w:p>
    <w:p w14:paraId="4C6C8B57" w14:textId="77777777" w:rsidR="00CA4008" w:rsidRPr="00CA4008" w:rsidRDefault="00CA4008" w:rsidP="00CA4008">
      <w:r w:rsidRPr="00CA4008">
        <w:t>The analysis of the national database of childcare prices reveals significant variations in childcare costs across different states and counties. The data includes metrics such as unemployment rates, labor force participation rates, median household income, and childcare costs for various age groups. This comprehensive dataset allows us to understand the economic factors influencing childcare affordability and accessibility.</w:t>
      </w:r>
    </w:p>
    <w:p w14:paraId="4DF352DC" w14:textId="77777777" w:rsidR="00711EAD" w:rsidRPr="00711EAD" w:rsidRDefault="00711EAD" w:rsidP="00711EAD">
      <w:pPr>
        <w:rPr>
          <w:b/>
          <w:bCs/>
        </w:rPr>
      </w:pPr>
      <w:r w:rsidRPr="00711EAD">
        <w:rPr>
          <w:b/>
          <w:bCs/>
        </w:rPr>
        <w:t>Findings</w:t>
      </w:r>
    </w:p>
    <w:p w14:paraId="4D865EBB" w14:textId="2BED2ED9" w:rsidR="00A40597" w:rsidRPr="00711EAD" w:rsidRDefault="00711EAD" w:rsidP="009719FA">
      <w:pPr>
        <w:numPr>
          <w:ilvl w:val="0"/>
          <w:numId w:val="1"/>
        </w:numPr>
      </w:pPr>
      <w:r w:rsidRPr="00711EAD">
        <w:rPr>
          <w:b/>
          <w:bCs/>
        </w:rPr>
        <w:t>Childcare Costs</w:t>
      </w:r>
      <w:r w:rsidRPr="00711EAD">
        <w:t>: There is a wide range of childcare costs, with some counties experiencing significantly higher prices than others.</w:t>
      </w:r>
      <w:r w:rsidR="00A40597" w:rsidRPr="004C12F5">
        <w:rPr>
          <w:rFonts w:ascii="Roboto" w:hAnsi="Roboto"/>
          <w:b/>
          <w:bCs/>
          <w:color w:val="111111"/>
          <w:shd w:val="clear" w:color="auto" w:fill="F7F7F7"/>
        </w:rPr>
        <w:t xml:space="preserve"> </w:t>
      </w:r>
      <w:r w:rsidR="00A40597" w:rsidRPr="004C12F5">
        <w:t>MCBto5, MC6to11, MC12to17,</w:t>
      </w:r>
      <w:r w:rsidR="004C12F5" w:rsidRPr="004C12F5">
        <w:rPr>
          <w:rFonts w:ascii="Roboto" w:hAnsi="Roboto"/>
          <w:color w:val="111111"/>
          <w:shd w:val="clear" w:color="auto" w:fill="F7F7F7"/>
        </w:rPr>
        <w:t xml:space="preserve"> </w:t>
      </w:r>
      <w:r w:rsidR="004C12F5" w:rsidRPr="004C12F5">
        <w:t>MCInfant</w:t>
      </w:r>
      <w:r w:rsidR="004C12F5" w:rsidRPr="004C12F5">
        <w:t xml:space="preserve">, </w:t>
      </w:r>
      <w:r w:rsidR="004C12F5" w:rsidRPr="004C12F5">
        <w:t>MCToddler</w:t>
      </w:r>
      <w:r w:rsidR="004C12F5" w:rsidRPr="004C12F5">
        <w:t xml:space="preserve"> and </w:t>
      </w:r>
      <w:r w:rsidR="004C12F5" w:rsidRPr="004C12F5">
        <w:t>MCPreschool</w:t>
      </w:r>
      <w:r w:rsidR="004C12F5" w:rsidRPr="004C12F5">
        <w:t xml:space="preserve"> are the attributes </w:t>
      </w:r>
      <w:r w:rsidR="00C60A13">
        <w:t>in</w:t>
      </w:r>
      <w:r w:rsidR="004C12F5" w:rsidRPr="004C12F5">
        <w:t xml:space="preserve"> the dataset </w:t>
      </w:r>
      <w:r w:rsidR="00C60A13" w:rsidRPr="004C12F5">
        <w:t>related</w:t>
      </w:r>
      <w:r w:rsidR="004C12F5" w:rsidRPr="004C12F5">
        <w:t xml:space="preserve"> to </w:t>
      </w:r>
      <w:r w:rsidR="00C60A13" w:rsidRPr="004C12F5">
        <w:t>childcare</w:t>
      </w:r>
      <w:r w:rsidR="004C12F5" w:rsidRPr="004C12F5">
        <w:t xml:space="preserve"> costs.</w:t>
      </w:r>
    </w:p>
    <w:p w14:paraId="4C258820" w14:textId="7A39FFFF" w:rsidR="00711EAD" w:rsidRPr="00711EAD" w:rsidRDefault="00711EAD" w:rsidP="00F507AB">
      <w:pPr>
        <w:numPr>
          <w:ilvl w:val="0"/>
          <w:numId w:val="1"/>
        </w:numPr>
        <w:rPr>
          <w:b/>
          <w:bCs/>
        </w:rPr>
      </w:pPr>
      <w:r w:rsidRPr="00711EAD">
        <w:rPr>
          <w:b/>
          <w:bCs/>
        </w:rPr>
        <w:t>Economic Indicators</w:t>
      </w:r>
      <w:r w:rsidRPr="00711EAD">
        <w:t>: Counties with higher median household incomes tend to have higher childcare costs.</w:t>
      </w:r>
      <w:r w:rsidR="00B84424" w:rsidRPr="00B84424">
        <w:rPr>
          <w:rFonts w:ascii="Roboto" w:hAnsi="Roboto"/>
          <w:b/>
          <w:bCs/>
          <w:color w:val="111111"/>
          <w:shd w:val="clear" w:color="auto" w:fill="F7F7F7"/>
        </w:rPr>
        <w:t xml:space="preserve"> </w:t>
      </w:r>
      <w:r w:rsidR="00B84424" w:rsidRPr="00F507AB">
        <w:t>MHI </w:t>
      </w:r>
      <w:r w:rsidR="00B84424" w:rsidRPr="00F507AB">
        <w:t xml:space="preserve">and </w:t>
      </w:r>
      <w:r w:rsidR="00B84424" w:rsidRPr="00F507AB">
        <w:t>MHI_2018</w:t>
      </w:r>
      <w:r w:rsidR="00B84424" w:rsidRPr="00F507AB">
        <w:t xml:space="preserve"> are the attributes for </w:t>
      </w:r>
      <w:r w:rsidR="009F3893" w:rsidRPr="00F507AB">
        <w:t xml:space="preserve">household income and </w:t>
      </w:r>
      <w:r w:rsidR="009F3893" w:rsidRPr="00F507AB">
        <w:t>PR_F (Female Poverty Rate)</w:t>
      </w:r>
      <w:r w:rsidR="009F3893" w:rsidRPr="00F507AB">
        <w:t xml:space="preserve"> and </w:t>
      </w:r>
      <w:r w:rsidR="00F507AB" w:rsidRPr="00F507AB">
        <w:t>PR_P (Overall Poverty Rate)</w:t>
      </w:r>
      <w:r w:rsidR="00F507AB" w:rsidRPr="00F507AB">
        <w:t xml:space="preserve"> are the attributes related to poverty rate.</w:t>
      </w:r>
    </w:p>
    <w:p w14:paraId="56E41255" w14:textId="255037CC" w:rsidR="00711EAD" w:rsidRPr="00492038" w:rsidRDefault="00711EAD" w:rsidP="00711EAD">
      <w:pPr>
        <w:numPr>
          <w:ilvl w:val="0"/>
          <w:numId w:val="1"/>
        </w:numPr>
      </w:pPr>
      <w:r w:rsidRPr="00711EAD">
        <w:rPr>
          <w:b/>
          <w:bCs/>
        </w:rPr>
        <w:t>Labor Force Participation</w:t>
      </w:r>
      <w:r w:rsidRPr="00711EAD">
        <w:t>: Higher female labor force participation rates correlate with increased demand for childcare services.</w:t>
      </w:r>
      <w:r w:rsidR="00190941" w:rsidRPr="00190941">
        <w:rPr>
          <w:rFonts w:ascii="Roboto" w:hAnsi="Roboto"/>
          <w:b/>
          <w:bCs/>
          <w:color w:val="111111"/>
          <w:shd w:val="clear" w:color="auto" w:fill="F7F7F7"/>
        </w:rPr>
        <w:t xml:space="preserve"> </w:t>
      </w:r>
      <w:r w:rsidR="00492038" w:rsidRPr="008447EC">
        <w:t>FLFPR_20to64</w:t>
      </w:r>
      <w:r w:rsidR="00492038">
        <w:t xml:space="preserve">, </w:t>
      </w:r>
      <w:r w:rsidR="00492038" w:rsidRPr="008447EC">
        <w:t>FLFPR_20to64_Under6</w:t>
      </w:r>
      <w:r w:rsidR="00492038">
        <w:t>,</w:t>
      </w:r>
      <w:r w:rsidR="00492038" w:rsidRPr="008447EC">
        <w:t xml:space="preserve"> </w:t>
      </w:r>
      <w:r w:rsidR="00492038" w:rsidRPr="008447EC">
        <w:t>FLFPR_20to64_6to</w:t>
      </w:r>
      <w:r w:rsidR="008447EC" w:rsidRPr="008447EC">
        <w:t>17</w:t>
      </w:r>
      <w:r w:rsidR="008447EC">
        <w:t>, FLFPR</w:t>
      </w:r>
      <w:r w:rsidR="00492038" w:rsidRPr="008447EC">
        <w:t>_20to64_Under6_6to</w:t>
      </w:r>
      <w:r w:rsidR="00F507AB" w:rsidRPr="008447EC">
        <w:t>17</w:t>
      </w:r>
      <w:r w:rsidR="00F507AB" w:rsidRPr="00492038">
        <w:t xml:space="preserve"> and</w:t>
      </w:r>
      <w:r w:rsidR="00492038">
        <w:t xml:space="preserve"> </w:t>
      </w:r>
      <w:r w:rsidR="008447EC" w:rsidRPr="008447EC">
        <w:t>MLFPR_20to64 </w:t>
      </w:r>
      <w:r w:rsidR="008447EC">
        <w:t xml:space="preserve"> are the key attributes for this category.</w:t>
      </w:r>
    </w:p>
    <w:p w14:paraId="06A03780" w14:textId="6FC8F866" w:rsidR="00711EAD" w:rsidRPr="00711EAD" w:rsidRDefault="00711EAD" w:rsidP="00711EAD">
      <w:pPr>
        <w:numPr>
          <w:ilvl w:val="0"/>
          <w:numId w:val="1"/>
        </w:numPr>
      </w:pPr>
      <w:r w:rsidRPr="00711EAD">
        <w:rPr>
          <w:b/>
          <w:bCs/>
        </w:rPr>
        <w:t>Unemployment Rates</w:t>
      </w:r>
      <w:r w:rsidRPr="00711EAD">
        <w:t>: Areas with lower unemployment rates generally have higher childcare costs, indicating a robust job market and higher demand for childcare.</w:t>
      </w:r>
      <w:r w:rsidR="0095459B" w:rsidRPr="0095459B">
        <w:rPr>
          <w:rFonts w:ascii="Roboto" w:hAnsi="Roboto"/>
          <w:b/>
          <w:bCs/>
          <w:color w:val="111111"/>
          <w:shd w:val="clear" w:color="auto" w:fill="F7F7F7"/>
        </w:rPr>
        <w:t xml:space="preserve"> </w:t>
      </w:r>
      <w:r w:rsidR="0095459B" w:rsidRPr="00B94591">
        <w:t>UNR_16</w:t>
      </w:r>
      <w:r w:rsidR="0095459B" w:rsidRPr="00B94591">
        <w:t xml:space="preserve">, </w:t>
      </w:r>
      <w:r w:rsidR="0095459B" w:rsidRPr="00B94591">
        <w:t>FUNR_16</w:t>
      </w:r>
      <w:r w:rsidR="0095459B" w:rsidRPr="00B94591">
        <w:t xml:space="preserve">, </w:t>
      </w:r>
      <w:r w:rsidR="0095459B" w:rsidRPr="00B94591">
        <w:t>MUNR_16</w:t>
      </w:r>
      <w:r w:rsidR="0095459B" w:rsidRPr="00B94591">
        <w:t xml:space="preserve">, </w:t>
      </w:r>
      <w:r w:rsidR="0095459B" w:rsidRPr="00B94591">
        <w:t>UNR_20to64</w:t>
      </w:r>
      <w:r w:rsidR="0095459B" w:rsidRPr="00B94591">
        <w:t xml:space="preserve">, </w:t>
      </w:r>
      <w:r w:rsidR="0095459B" w:rsidRPr="00B94591">
        <w:t>FUNR_20to64</w:t>
      </w:r>
      <w:r w:rsidR="0095459B" w:rsidRPr="00B94591">
        <w:t xml:space="preserve">, </w:t>
      </w:r>
      <w:r w:rsidR="00B94591" w:rsidRPr="00B94591">
        <w:t>MUNR_20to64</w:t>
      </w:r>
      <w:r w:rsidR="00B94591" w:rsidRPr="00B94591">
        <w:t xml:space="preserve"> are the key attributes from the dataset for this category.</w:t>
      </w:r>
    </w:p>
    <w:p w14:paraId="5A674EB7" w14:textId="77777777" w:rsidR="00ED2CEA" w:rsidRPr="00ED2CEA" w:rsidRDefault="00ED2CEA" w:rsidP="00ED2CEA">
      <w:pPr>
        <w:rPr>
          <w:b/>
          <w:bCs/>
        </w:rPr>
      </w:pPr>
      <w:r w:rsidRPr="00ED2CEA">
        <w:rPr>
          <w:b/>
          <w:bCs/>
        </w:rPr>
        <w:t>Assumptions</w:t>
      </w:r>
    </w:p>
    <w:p w14:paraId="4843A576" w14:textId="77777777" w:rsidR="00ED2CEA" w:rsidRPr="00ED2CEA" w:rsidRDefault="00ED2CEA" w:rsidP="00ED2CEA">
      <w:pPr>
        <w:numPr>
          <w:ilvl w:val="0"/>
          <w:numId w:val="2"/>
        </w:numPr>
      </w:pPr>
      <w:r w:rsidRPr="00ED2CEA">
        <w:t>The data accurately reflects the current economic conditions and childcare costs.</w:t>
      </w:r>
    </w:p>
    <w:p w14:paraId="662F77AE" w14:textId="77777777" w:rsidR="00ED2CEA" w:rsidRPr="00ED2CEA" w:rsidRDefault="00ED2CEA" w:rsidP="00ED2CEA">
      <w:pPr>
        <w:numPr>
          <w:ilvl w:val="0"/>
          <w:numId w:val="2"/>
        </w:numPr>
      </w:pPr>
      <w:r w:rsidRPr="00ED2CEA">
        <w:t>Higher childcare costs are a barrier to workforce participation, particularly for women.</w:t>
      </w:r>
    </w:p>
    <w:p w14:paraId="460F49EB" w14:textId="77777777" w:rsidR="00ED2CEA" w:rsidRPr="00ED2CEA" w:rsidRDefault="00ED2CEA" w:rsidP="00ED2CEA">
      <w:pPr>
        <w:numPr>
          <w:ilvl w:val="0"/>
          <w:numId w:val="2"/>
        </w:numPr>
      </w:pPr>
      <w:r w:rsidRPr="00ED2CEA">
        <w:lastRenderedPageBreak/>
        <w:t>There is a direct correlation between household income and the ability to afford childcare services.</w:t>
      </w:r>
    </w:p>
    <w:p w14:paraId="6FA6D064" w14:textId="77777777" w:rsidR="00ED2CEA" w:rsidRPr="00ED2CEA" w:rsidRDefault="00ED2CEA" w:rsidP="00ED2CEA">
      <w:pPr>
        <w:rPr>
          <w:b/>
          <w:bCs/>
        </w:rPr>
      </w:pPr>
      <w:r w:rsidRPr="00ED2CEA">
        <w:rPr>
          <w:b/>
          <w:bCs/>
        </w:rPr>
        <w:t>Items that Still Need Clarification</w:t>
      </w:r>
    </w:p>
    <w:p w14:paraId="6D958D34" w14:textId="77777777" w:rsidR="00ED2CEA" w:rsidRPr="00ED2CEA" w:rsidRDefault="00ED2CEA" w:rsidP="00ED2CEA">
      <w:pPr>
        <w:numPr>
          <w:ilvl w:val="0"/>
          <w:numId w:val="3"/>
        </w:numPr>
      </w:pPr>
      <w:r w:rsidRPr="00ED2CEA">
        <w:t>The impact of state-specific childcare subsidies and policies on the overall cost.</w:t>
      </w:r>
    </w:p>
    <w:p w14:paraId="1D56EDEB" w14:textId="77777777" w:rsidR="00ED2CEA" w:rsidRPr="00ED2CEA" w:rsidRDefault="00ED2CEA" w:rsidP="00ED2CEA">
      <w:pPr>
        <w:numPr>
          <w:ilvl w:val="0"/>
          <w:numId w:val="3"/>
        </w:numPr>
      </w:pPr>
      <w:r w:rsidRPr="00ED2CEA">
        <w:t>The role of informal childcare arrangements in different counties.</w:t>
      </w:r>
    </w:p>
    <w:p w14:paraId="2AF204BF" w14:textId="77777777" w:rsidR="00ED2CEA" w:rsidRPr="00ED2CEA" w:rsidRDefault="00ED2CEA" w:rsidP="00ED2CEA">
      <w:pPr>
        <w:numPr>
          <w:ilvl w:val="0"/>
          <w:numId w:val="3"/>
        </w:numPr>
      </w:pPr>
      <w:r w:rsidRPr="00ED2CEA">
        <w:t>Detailed demographic breakdowns to understand the specific needs of various communities.</w:t>
      </w:r>
    </w:p>
    <w:p w14:paraId="1EB1593D" w14:textId="77777777" w:rsidR="00ED2CEA" w:rsidRPr="00ED2CEA" w:rsidRDefault="00ED2CEA" w:rsidP="00ED2CEA">
      <w:pPr>
        <w:rPr>
          <w:b/>
          <w:bCs/>
        </w:rPr>
      </w:pPr>
      <w:r w:rsidRPr="00ED2CEA">
        <w:rPr>
          <w:b/>
          <w:bCs/>
        </w:rPr>
        <w:t>Direction of Story/Plan of Attack/Message You Want to Get Across</w:t>
      </w:r>
    </w:p>
    <w:p w14:paraId="14B93F25" w14:textId="508FFEDE" w:rsidR="00ED2CEA" w:rsidRPr="00ED2CEA" w:rsidRDefault="00ED2CEA" w:rsidP="00ED2CEA">
      <w:r w:rsidRPr="00ED2CEA">
        <w:t>The story aims to highlight the urgent need for affordable childcare solutions to support working families, particularly in areas with high childcare costs. By investing in childcare infrastructure and subsidies, we can boost workforce participation, especially among women, and promote economic growth.</w:t>
      </w:r>
      <w:r w:rsidR="00941FB4">
        <w:t xml:space="preserve"> Along with that we will identify which approach </w:t>
      </w:r>
      <w:r w:rsidR="00E46C3F">
        <w:t>or wh</w:t>
      </w:r>
      <w:r w:rsidR="00CF3A90">
        <w:t xml:space="preserve">om we can demand </w:t>
      </w:r>
      <w:r w:rsidR="00612CC5">
        <w:t xml:space="preserve">for </w:t>
      </w:r>
      <w:r w:rsidR="00612CC5" w:rsidRPr="00ED2CEA">
        <w:t>affordable childcare solutions</w:t>
      </w:r>
      <w:r w:rsidR="00612CC5">
        <w:t>. Ca</w:t>
      </w:r>
      <w:r w:rsidR="00A860FA">
        <w:t xml:space="preserve">n we force government </w:t>
      </w:r>
      <w:r w:rsidR="00D52C8A">
        <w:t xml:space="preserve">for public government sponsored day-care </w:t>
      </w:r>
      <w:r w:rsidR="001428CE">
        <w:t>facility based on the household income.</w:t>
      </w:r>
    </w:p>
    <w:p w14:paraId="21B83AF2" w14:textId="77777777" w:rsidR="00ED2CEA" w:rsidRDefault="00ED2CEA" w:rsidP="00ED2CEA">
      <w:pPr>
        <w:rPr>
          <w:b/>
          <w:bCs/>
        </w:rPr>
      </w:pPr>
      <w:r w:rsidRPr="00ED2CEA">
        <w:rPr>
          <w:b/>
          <w:bCs/>
        </w:rPr>
        <w:t>Target Audience</w:t>
      </w:r>
    </w:p>
    <w:p w14:paraId="4DB5082E" w14:textId="77777777" w:rsidR="00B120D7" w:rsidRPr="00ED2CEA" w:rsidRDefault="00B120D7" w:rsidP="00B120D7">
      <w:pPr>
        <w:numPr>
          <w:ilvl w:val="0"/>
          <w:numId w:val="4"/>
        </w:numPr>
      </w:pPr>
      <w:r>
        <w:rPr>
          <w:b/>
          <w:bCs/>
        </w:rPr>
        <w:t>Government Representatives:</w:t>
      </w:r>
      <w:r>
        <w:t xml:space="preserve"> How effectively they can think for Government sponsored public day care facility based on household income.</w:t>
      </w:r>
      <w:r>
        <w:tab/>
      </w:r>
    </w:p>
    <w:p w14:paraId="33BA1AD9" w14:textId="77777777" w:rsidR="00ED2CEA" w:rsidRPr="00ED2CEA" w:rsidRDefault="00ED2CEA" w:rsidP="00ED2CEA">
      <w:pPr>
        <w:numPr>
          <w:ilvl w:val="0"/>
          <w:numId w:val="4"/>
        </w:numPr>
      </w:pPr>
      <w:r w:rsidRPr="00ED2CEA">
        <w:rPr>
          <w:b/>
          <w:bCs/>
        </w:rPr>
        <w:t>Investors</w:t>
      </w:r>
      <w:r w:rsidRPr="00ED2CEA">
        <w:t>: To encourage investment in new daycare businesses in high-demand areas.</w:t>
      </w:r>
    </w:p>
    <w:p w14:paraId="1F8720EB" w14:textId="77777777" w:rsidR="00ED2CEA" w:rsidRDefault="00ED2CEA" w:rsidP="00ED2CEA">
      <w:pPr>
        <w:numPr>
          <w:ilvl w:val="0"/>
          <w:numId w:val="4"/>
        </w:numPr>
      </w:pPr>
      <w:r w:rsidRPr="00ED2CEA">
        <w:rPr>
          <w:b/>
          <w:bCs/>
        </w:rPr>
        <w:t>Employers</w:t>
      </w:r>
      <w:r w:rsidRPr="00ED2CEA">
        <w:t>: To promote the benefits of providing employee-funded daycare benefits to attract and retain talent.</w:t>
      </w:r>
    </w:p>
    <w:p w14:paraId="1E0689CD" w14:textId="77777777" w:rsidR="00ED2CEA" w:rsidRPr="00ED2CEA" w:rsidRDefault="00ED2CEA" w:rsidP="00ED2CEA">
      <w:pPr>
        <w:rPr>
          <w:b/>
          <w:bCs/>
        </w:rPr>
      </w:pPr>
      <w:r w:rsidRPr="00ED2CEA">
        <w:rPr>
          <w:b/>
          <w:bCs/>
        </w:rPr>
        <w:t>Mediums You Intend to Include</w:t>
      </w:r>
    </w:p>
    <w:p w14:paraId="7BE13A50" w14:textId="77777777" w:rsidR="00ED2CEA" w:rsidRPr="00ED2CEA" w:rsidRDefault="00ED2CEA" w:rsidP="00ED2CEA">
      <w:pPr>
        <w:numPr>
          <w:ilvl w:val="0"/>
          <w:numId w:val="5"/>
        </w:numPr>
      </w:pPr>
      <w:r w:rsidRPr="00ED2CEA">
        <w:rPr>
          <w:b/>
          <w:bCs/>
        </w:rPr>
        <w:t>Infographic</w:t>
      </w:r>
      <w:r w:rsidRPr="00ED2CEA">
        <w:t>: Visual representation of childcare costs across different states and counties, highlighting key economic indicators.</w:t>
      </w:r>
    </w:p>
    <w:p w14:paraId="0A86FBC9" w14:textId="77777777" w:rsidR="00ED2CEA" w:rsidRPr="00ED2CEA" w:rsidRDefault="00ED2CEA" w:rsidP="00ED2CEA">
      <w:pPr>
        <w:numPr>
          <w:ilvl w:val="0"/>
          <w:numId w:val="5"/>
        </w:numPr>
      </w:pPr>
      <w:r w:rsidRPr="00ED2CEA">
        <w:rPr>
          <w:b/>
          <w:bCs/>
        </w:rPr>
        <w:t>Presentation</w:t>
      </w:r>
      <w:r w:rsidRPr="00ED2CEA">
        <w:t>: A detailed slide deck for investors and policy makers, including data analysis, findings, and proposed solutions.</w:t>
      </w:r>
    </w:p>
    <w:p w14:paraId="77761712" w14:textId="77777777" w:rsidR="00ED2CEA" w:rsidRPr="00ED2CEA" w:rsidRDefault="00ED2CEA" w:rsidP="00ED2CEA">
      <w:pPr>
        <w:numPr>
          <w:ilvl w:val="0"/>
          <w:numId w:val="5"/>
        </w:numPr>
      </w:pPr>
      <w:r w:rsidRPr="00ED2CEA">
        <w:rPr>
          <w:b/>
          <w:bCs/>
        </w:rPr>
        <w:t>Social Media Campaign</w:t>
      </w:r>
      <w:r w:rsidRPr="00ED2CEA">
        <w:t>: Engaging posts and videos to raise public awareness about the importance of affordable childcare and to garner support for policy changes.</w:t>
      </w:r>
    </w:p>
    <w:p w14:paraId="08601191" w14:textId="77777777" w:rsidR="00ED2CEA" w:rsidRPr="00ED2CEA" w:rsidRDefault="00ED2CEA" w:rsidP="00ED2CEA">
      <w:r w:rsidRPr="00ED2CEA">
        <w:t>This structured approach will help convey the importance of addressing childcare affordability and accessibility, ultimately leading to a more inclusive and productive workforce.</w:t>
      </w:r>
    </w:p>
    <w:p w14:paraId="1482D7AF" w14:textId="77777777" w:rsidR="00CA4008" w:rsidRDefault="00CA4008"/>
    <w:sectPr w:rsidR="00CA4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F4C15"/>
    <w:multiLevelType w:val="multilevel"/>
    <w:tmpl w:val="2784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046D2"/>
    <w:multiLevelType w:val="multilevel"/>
    <w:tmpl w:val="480C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67446"/>
    <w:multiLevelType w:val="multilevel"/>
    <w:tmpl w:val="CC6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068B5"/>
    <w:multiLevelType w:val="multilevel"/>
    <w:tmpl w:val="88AE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08180F"/>
    <w:multiLevelType w:val="multilevel"/>
    <w:tmpl w:val="6014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93F51"/>
    <w:multiLevelType w:val="multilevel"/>
    <w:tmpl w:val="8B3A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A27C43"/>
    <w:multiLevelType w:val="multilevel"/>
    <w:tmpl w:val="BC7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745169">
    <w:abstractNumId w:val="1"/>
  </w:num>
  <w:num w:numId="2" w16cid:durableId="157162387">
    <w:abstractNumId w:val="0"/>
  </w:num>
  <w:num w:numId="3" w16cid:durableId="1133448915">
    <w:abstractNumId w:val="6"/>
  </w:num>
  <w:num w:numId="4" w16cid:durableId="1027828675">
    <w:abstractNumId w:val="3"/>
  </w:num>
  <w:num w:numId="5" w16cid:durableId="1179613255">
    <w:abstractNumId w:val="5"/>
  </w:num>
  <w:num w:numId="6" w16cid:durableId="989091245">
    <w:abstractNumId w:val="2"/>
  </w:num>
  <w:num w:numId="7" w16cid:durableId="638851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E0"/>
    <w:rsid w:val="00065314"/>
    <w:rsid w:val="000A60BF"/>
    <w:rsid w:val="001428CE"/>
    <w:rsid w:val="00190941"/>
    <w:rsid w:val="0024564D"/>
    <w:rsid w:val="003417E4"/>
    <w:rsid w:val="00492038"/>
    <w:rsid w:val="004C12F5"/>
    <w:rsid w:val="0059058B"/>
    <w:rsid w:val="005B41E8"/>
    <w:rsid w:val="00612CC5"/>
    <w:rsid w:val="00711EAD"/>
    <w:rsid w:val="007C2819"/>
    <w:rsid w:val="008447EC"/>
    <w:rsid w:val="00880A44"/>
    <w:rsid w:val="00883DB7"/>
    <w:rsid w:val="008B7C9F"/>
    <w:rsid w:val="008C0385"/>
    <w:rsid w:val="008F5344"/>
    <w:rsid w:val="009412D4"/>
    <w:rsid w:val="00941FB4"/>
    <w:rsid w:val="0095459B"/>
    <w:rsid w:val="009F3893"/>
    <w:rsid w:val="00A40597"/>
    <w:rsid w:val="00A860FA"/>
    <w:rsid w:val="00AC4289"/>
    <w:rsid w:val="00AE09E0"/>
    <w:rsid w:val="00B120D7"/>
    <w:rsid w:val="00B84424"/>
    <w:rsid w:val="00B94591"/>
    <w:rsid w:val="00C60A13"/>
    <w:rsid w:val="00CA4008"/>
    <w:rsid w:val="00CE3ECC"/>
    <w:rsid w:val="00CF3A90"/>
    <w:rsid w:val="00D11C21"/>
    <w:rsid w:val="00D52C8A"/>
    <w:rsid w:val="00E46C3F"/>
    <w:rsid w:val="00ED2CEA"/>
    <w:rsid w:val="00F507AB"/>
    <w:rsid w:val="00FC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3B5B"/>
  <w15:chartTrackingRefBased/>
  <w15:docId w15:val="{0AF13077-D10C-4411-939F-3ECB8F6B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819"/>
    <w:pPr>
      <w:spacing w:line="279" w:lineRule="auto"/>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AE09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9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9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9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9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9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9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9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9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9E0"/>
    <w:rPr>
      <w:rFonts w:eastAsiaTheme="majorEastAsia" w:cstheme="majorBidi"/>
      <w:color w:val="272727" w:themeColor="text1" w:themeTint="D8"/>
    </w:rPr>
  </w:style>
  <w:style w:type="paragraph" w:styleId="Title">
    <w:name w:val="Title"/>
    <w:basedOn w:val="Normal"/>
    <w:next w:val="Normal"/>
    <w:link w:val="TitleChar"/>
    <w:uiPriority w:val="10"/>
    <w:qFormat/>
    <w:rsid w:val="00AE0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9E0"/>
    <w:pPr>
      <w:spacing w:before="160"/>
      <w:jc w:val="center"/>
    </w:pPr>
    <w:rPr>
      <w:i/>
      <w:iCs/>
      <w:color w:val="404040" w:themeColor="text1" w:themeTint="BF"/>
    </w:rPr>
  </w:style>
  <w:style w:type="character" w:customStyle="1" w:styleId="QuoteChar">
    <w:name w:val="Quote Char"/>
    <w:basedOn w:val="DefaultParagraphFont"/>
    <w:link w:val="Quote"/>
    <w:uiPriority w:val="29"/>
    <w:rsid w:val="00AE09E0"/>
    <w:rPr>
      <w:i/>
      <w:iCs/>
      <w:color w:val="404040" w:themeColor="text1" w:themeTint="BF"/>
    </w:rPr>
  </w:style>
  <w:style w:type="paragraph" w:styleId="ListParagraph">
    <w:name w:val="List Paragraph"/>
    <w:basedOn w:val="Normal"/>
    <w:uiPriority w:val="34"/>
    <w:qFormat/>
    <w:rsid w:val="00AE09E0"/>
    <w:pPr>
      <w:ind w:left="720"/>
      <w:contextualSpacing/>
    </w:pPr>
  </w:style>
  <w:style w:type="character" w:styleId="IntenseEmphasis">
    <w:name w:val="Intense Emphasis"/>
    <w:basedOn w:val="DefaultParagraphFont"/>
    <w:uiPriority w:val="21"/>
    <w:qFormat/>
    <w:rsid w:val="00AE09E0"/>
    <w:rPr>
      <w:i/>
      <w:iCs/>
      <w:color w:val="2F5496" w:themeColor="accent1" w:themeShade="BF"/>
    </w:rPr>
  </w:style>
  <w:style w:type="paragraph" w:styleId="IntenseQuote">
    <w:name w:val="Intense Quote"/>
    <w:basedOn w:val="Normal"/>
    <w:next w:val="Normal"/>
    <w:link w:val="IntenseQuoteChar"/>
    <w:uiPriority w:val="30"/>
    <w:qFormat/>
    <w:rsid w:val="00AE09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9E0"/>
    <w:rPr>
      <w:i/>
      <w:iCs/>
      <w:color w:val="2F5496" w:themeColor="accent1" w:themeShade="BF"/>
    </w:rPr>
  </w:style>
  <w:style w:type="character" w:styleId="IntenseReference">
    <w:name w:val="Intense Reference"/>
    <w:basedOn w:val="DefaultParagraphFont"/>
    <w:uiPriority w:val="32"/>
    <w:qFormat/>
    <w:rsid w:val="00AE09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2784">
      <w:bodyDiv w:val="1"/>
      <w:marLeft w:val="0"/>
      <w:marRight w:val="0"/>
      <w:marTop w:val="0"/>
      <w:marBottom w:val="0"/>
      <w:divBdr>
        <w:top w:val="none" w:sz="0" w:space="0" w:color="auto"/>
        <w:left w:val="none" w:sz="0" w:space="0" w:color="auto"/>
        <w:bottom w:val="none" w:sz="0" w:space="0" w:color="auto"/>
        <w:right w:val="none" w:sz="0" w:space="0" w:color="auto"/>
      </w:divBdr>
    </w:div>
    <w:div w:id="141049717">
      <w:bodyDiv w:val="1"/>
      <w:marLeft w:val="0"/>
      <w:marRight w:val="0"/>
      <w:marTop w:val="0"/>
      <w:marBottom w:val="0"/>
      <w:divBdr>
        <w:top w:val="none" w:sz="0" w:space="0" w:color="auto"/>
        <w:left w:val="none" w:sz="0" w:space="0" w:color="auto"/>
        <w:bottom w:val="none" w:sz="0" w:space="0" w:color="auto"/>
        <w:right w:val="none" w:sz="0" w:space="0" w:color="auto"/>
      </w:divBdr>
    </w:div>
    <w:div w:id="159009154">
      <w:bodyDiv w:val="1"/>
      <w:marLeft w:val="0"/>
      <w:marRight w:val="0"/>
      <w:marTop w:val="0"/>
      <w:marBottom w:val="0"/>
      <w:divBdr>
        <w:top w:val="none" w:sz="0" w:space="0" w:color="auto"/>
        <w:left w:val="none" w:sz="0" w:space="0" w:color="auto"/>
        <w:bottom w:val="none" w:sz="0" w:space="0" w:color="auto"/>
        <w:right w:val="none" w:sz="0" w:space="0" w:color="auto"/>
      </w:divBdr>
    </w:div>
    <w:div w:id="171578512">
      <w:bodyDiv w:val="1"/>
      <w:marLeft w:val="0"/>
      <w:marRight w:val="0"/>
      <w:marTop w:val="0"/>
      <w:marBottom w:val="0"/>
      <w:divBdr>
        <w:top w:val="none" w:sz="0" w:space="0" w:color="auto"/>
        <w:left w:val="none" w:sz="0" w:space="0" w:color="auto"/>
        <w:bottom w:val="none" w:sz="0" w:space="0" w:color="auto"/>
        <w:right w:val="none" w:sz="0" w:space="0" w:color="auto"/>
      </w:divBdr>
    </w:div>
    <w:div w:id="334648086">
      <w:bodyDiv w:val="1"/>
      <w:marLeft w:val="0"/>
      <w:marRight w:val="0"/>
      <w:marTop w:val="0"/>
      <w:marBottom w:val="0"/>
      <w:divBdr>
        <w:top w:val="none" w:sz="0" w:space="0" w:color="auto"/>
        <w:left w:val="none" w:sz="0" w:space="0" w:color="auto"/>
        <w:bottom w:val="none" w:sz="0" w:space="0" w:color="auto"/>
        <w:right w:val="none" w:sz="0" w:space="0" w:color="auto"/>
      </w:divBdr>
    </w:div>
    <w:div w:id="355039807">
      <w:bodyDiv w:val="1"/>
      <w:marLeft w:val="0"/>
      <w:marRight w:val="0"/>
      <w:marTop w:val="0"/>
      <w:marBottom w:val="0"/>
      <w:divBdr>
        <w:top w:val="none" w:sz="0" w:space="0" w:color="auto"/>
        <w:left w:val="none" w:sz="0" w:space="0" w:color="auto"/>
        <w:bottom w:val="none" w:sz="0" w:space="0" w:color="auto"/>
        <w:right w:val="none" w:sz="0" w:space="0" w:color="auto"/>
      </w:divBdr>
    </w:div>
    <w:div w:id="401492798">
      <w:bodyDiv w:val="1"/>
      <w:marLeft w:val="0"/>
      <w:marRight w:val="0"/>
      <w:marTop w:val="0"/>
      <w:marBottom w:val="0"/>
      <w:divBdr>
        <w:top w:val="none" w:sz="0" w:space="0" w:color="auto"/>
        <w:left w:val="none" w:sz="0" w:space="0" w:color="auto"/>
        <w:bottom w:val="none" w:sz="0" w:space="0" w:color="auto"/>
        <w:right w:val="none" w:sz="0" w:space="0" w:color="auto"/>
      </w:divBdr>
    </w:div>
    <w:div w:id="438961549">
      <w:bodyDiv w:val="1"/>
      <w:marLeft w:val="0"/>
      <w:marRight w:val="0"/>
      <w:marTop w:val="0"/>
      <w:marBottom w:val="0"/>
      <w:divBdr>
        <w:top w:val="none" w:sz="0" w:space="0" w:color="auto"/>
        <w:left w:val="none" w:sz="0" w:space="0" w:color="auto"/>
        <w:bottom w:val="none" w:sz="0" w:space="0" w:color="auto"/>
        <w:right w:val="none" w:sz="0" w:space="0" w:color="auto"/>
      </w:divBdr>
    </w:div>
    <w:div w:id="948046600">
      <w:bodyDiv w:val="1"/>
      <w:marLeft w:val="0"/>
      <w:marRight w:val="0"/>
      <w:marTop w:val="0"/>
      <w:marBottom w:val="0"/>
      <w:divBdr>
        <w:top w:val="none" w:sz="0" w:space="0" w:color="auto"/>
        <w:left w:val="none" w:sz="0" w:space="0" w:color="auto"/>
        <w:bottom w:val="none" w:sz="0" w:space="0" w:color="auto"/>
        <w:right w:val="none" w:sz="0" w:space="0" w:color="auto"/>
      </w:divBdr>
    </w:div>
    <w:div w:id="1025711495">
      <w:bodyDiv w:val="1"/>
      <w:marLeft w:val="0"/>
      <w:marRight w:val="0"/>
      <w:marTop w:val="0"/>
      <w:marBottom w:val="0"/>
      <w:divBdr>
        <w:top w:val="none" w:sz="0" w:space="0" w:color="auto"/>
        <w:left w:val="none" w:sz="0" w:space="0" w:color="auto"/>
        <w:bottom w:val="none" w:sz="0" w:space="0" w:color="auto"/>
        <w:right w:val="none" w:sz="0" w:space="0" w:color="auto"/>
      </w:divBdr>
    </w:div>
    <w:div w:id="1087111574">
      <w:bodyDiv w:val="1"/>
      <w:marLeft w:val="0"/>
      <w:marRight w:val="0"/>
      <w:marTop w:val="0"/>
      <w:marBottom w:val="0"/>
      <w:divBdr>
        <w:top w:val="none" w:sz="0" w:space="0" w:color="auto"/>
        <w:left w:val="none" w:sz="0" w:space="0" w:color="auto"/>
        <w:bottom w:val="none" w:sz="0" w:space="0" w:color="auto"/>
        <w:right w:val="none" w:sz="0" w:space="0" w:color="auto"/>
      </w:divBdr>
    </w:div>
    <w:div w:id="1277905068">
      <w:bodyDiv w:val="1"/>
      <w:marLeft w:val="0"/>
      <w:marRight w:val="0"/>
      <w:marTop w:val="0"/>
      <w:marBottom w:val="0"/>
      <w:divBdr>
        <w:top w:val="none" w:sz="0" w:space="0" w:color="auto"/>
        <w:left w:val="none" w:sz="0" w:space="0" w:color="auto"/>
        <w:bottom w:val="none" w:sz="0" w:space="0" w:color="auto"/>
        <w:right w:val="none" w:sz="0" w:space="0" w:color="auto"/>
      </w:divBdr>
    </w:div>
    <w:div w:id="1469398499">
      <w:bodyDiv w:val="1"/>
      <w:marLeft w:val="0"/>
      <w:marRight w:val="0"/>
      <w:marTop w:val="0"/>
      <w:marBottom w:val="0"/>
      <w:divBdr>
        <w:top w:val="none" w:sz="0" w:space="0" w:color="auto"/>
        <w:left w:val="none" w:sz="0" w:space="0" w:color="auto"/>
        <w:bottom w:val="none" w:sz="0" w:space="0" w:color="auto"/>
        <w:right w:val="none" w:sz="0" w:space="0" w:color="auto"/>
      </w:divBdr>
    </w:div>
    <w:div w:id="18876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567</Words>
  <Characters>3232</Characters>
  <Application>Microsoft Office Word</Application>
  <DocSecurity>0</DocSecurity>
  <Lines>26</Lines>
  <Paragraphs>7</Paragraphs>
  <ScaleCrop>false</ScaleCrop>
  <Company>Fiserv</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Chitramoy (Omaha)</dc:creator>
  <cp:keywords/>
  <dc:description/>
  <cp:lastModifiedBy>Mukherjee, Chitramoy (Omaha)</cp:lastModifiedBy>
  <cp:revision>35</cp:revision>
  <dcterms:created xsi:type="dcterms:W3CDTF">2024-09-15T11:46:00Z</dcterms:created>
  <dcterms:modified xsi:type="dcterms:W3CDTF">2024-09-15T12:25:00Z</dcterms:modified>
</cp:coreProperties>
</file>