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SWTID-2026-4912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WeatherWise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drawing>
          <wp:inline xmlns:a="http://schemas.openxmlformats.org/drawingml/2006/main" xmlns:pic="http://schemas.openxmlformats.org/drawingml/2006/picture">
            <wp:extent cx="5486400" cy="5730240"/>
            <wp:docPr id="1" name="Picture 1"/>
            <wp:cNvGraphicFramePr>
              <a:graphicFrameLocks noChangeAspect="1"/>
            </wp:cNvGraphicFramePr>
            <a:graphic>
              <a:graphicData uri="http://schemas.openxmlformats.org/drawingml/2006/picture">
                <pic:pic>
                  <pic:nvPicPr>
                    <pic:cNvPr id="0" name="psfit.png"/>
                    <pic:cNvPicPr/>
                  </pic:nvPicPr>
                  <pic:blipFill>
                    <a:blip r:embed="rId11"/>
                    <a:stretch>
                      <a:fillRect/>
                    </a:stretch>
                  </pic:blipFill>
                  <pic:spPr>
                    <a:xfrm>
                      <a:off x="0" y="0"/>
                      <a:ext cx="5486400" cy="5730240"/>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