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36"/>
        </w:rPr>
        <w:t>Proposed Solution Template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>
        <w:tc>
          <w:tcPr>
            <w:tcW w:w="259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259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06 September 2026</w:t>
            </w:r>
          </w:p>
        </w:tc>
        <w:tc>
          <w:tcPr>
            <w:tcW w:w="259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Team ID</w:t>
            </w:r>
          </w:p>
        </w:tc>
        <w:tc>
          <w:tcPr>
            <w:tcW w:w="2592" w:type="dxa"/>
          </w:tcPr>
          <w:p>
            <w:pPr>
              <w:spacing w:after="0" w:line="240" w:lineRule="auto"/>
            </w:pPr>
            <w:r>
              <w:t>B.Santoshi</w:t>
            </w:r>
            <w:bookmarkStart w:id="0" w:name="_GoBack"/>
            <w:bookmarkEnd w:id="0"/>
          </w:p>
        </w:tc>
      </w:tr>
      <w:tr>
        <w:tc>
          <w:tcPr>
            <w:tcW w:w="259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Project Name</w:t>
            </w:r>
          </w:p>
        </w:tc>
        <w:tc>
          <w:tcPr>
            <w:tcW w:w="259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Incident Lifecycle Automation in ServiceNow</w:t>
            </w:r>
          </w:p>
        </w:tc>
        <w:tc>
          <w:tcPr>
            <w:tcW w:w="259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Maximum Marks</w:t>
            </w:r>
          </w:p>
        </w:tc>
        <w:tc>
          <w:tcPr>
            <w:tcW w:w="259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 Marks</w:t>
            </w:r>
          </w:p>
        </w:tc>
      </w:tr>
    </w:tbl>
    <w:p>
      <w:r>
        <w:rPr>
          <w:b/>
          <w:sz w:val="26"/>
        </w:rPr>
        <w:t>Proposed Solution Template:</w:t>
      </w:r>
    </w:p>
    <w:p>
      <w:r>
        <w:t>The project team proposes a ServiceNow-based Incident Management solution that standardizes the complete incident lifecycle, improves visibility, supports faster resolution, and strengthens SLA compliance.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>
        <w:tc>
          <w:tcPr>
            <w:tcW w:w="3456" w:type="dxa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w="3456" w:type="dxa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w="3456" w:type="dxa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Problem Statement (Problem to be solved)</w:t>
            </w:r>
          </w:p>
        </w:tc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Incidents reported through emails, phone calls, or informal channels can result in poor tracking, incorrect classification, delayed escalation, limited resolution visibility, SLA breaches, and weak root-cause tracking.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Idea / Solution description</w:t>
            </w:r>
          </w:p>
        </w:tc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Automate and standardize Incident Management using ServiceNow. Service Desk agents create and classify incidents; incidents are assigned to suitable support groups; Level 2 technicians investigate and resolve them; emergency changes and child incidents can be created when required; resolved incidents can be converted into reusable knowledge articles.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Novelty / Uniqueness</w:t>
            </w:r>
          </w:p>
        </w:tc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The solution connects incident handling with Knowledge Management, reassignment, emergency change requests, child incidents, and knowledge creation within one structured lifecycle, reducing disconnected manual activities.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Social Impact / Customer Satisfaction</w:t>
            </w:r>
          </w:p>
        </w:tc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Faster and more transparent incident handling improves service experience. Users benefit from clearer status tracking, quicker resolution, consistent communication, and better reuse of known solutions.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Business Model (Revenue Model)</w:t>
            </w:r>
          </w:p>
        </w:tc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The solution is intended for organizational IT service operations. Business value comes from improved productivity, reduced incident-handling effort, better SLA compliance, and more efficient use of support resources.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Scalability of the Solution</w:t>
            </w:r>
          </w:p>
        </w:tc>
        <w:tc>
          <w:tcPr>
            <w:tcW w:w="3456" w:type="dxa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The workflow can be extended across departments, support groups, services, and incident volumes. Additional automation, SLA rules, dashboards, knowledge articles, and escalation paths can be added as organizational needs grow.</w:t>
            </w:r>
          </w:p>
        </w:tc>
      </w:tr>
    </w:tbl>
    <w:p>
      <w:r>
        <w:drawing>
          <wp:inline distT="0" distB="0" distL="114298" distR="114298">
            <wp:extent cx="6400800" cy="204825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0482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Proposed ServiceNow Incident Lifecycle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SOLUTION WORKFLOW &amp; EXPECTED OUTCOME</w:t>
      </w:r>
    </w:p>
    <w:p>
      <w:r>
        <w:rPr>
          <w:b/>
          <w:sz w:val="26"/>
        </w:rPr>
        <w:t>How the Proposed Solution Works</w:t>
      </w:r>
    </w:p>
    <w:p>
      <w:pPr>
        <w:ind w:left="259"/>
      </w:pPr>
      <w:r>
        <w:rPr>
          <w:b/>
        </w:rPr>
        <w:t xml:space="preserve">• </w:t>
      </w:r>
      <w:r>
        <w:t>Incident Creation – Service Desk agents record incidents with relevant details.</w:t>
      </w:r>
    </w:p>
    <w:p>
      <w:pPr>
        <w:ind w:left="259"/>
      </w:pPr>
      <w:r>
        <w:rPr>
          <w:b/>
        </w:rPr>
        <w:t xml:space="preserve">• </w:t>
      </w:r>
      <w:r>
        <w:t>Classification &amp; Assignment – Incidents are categorized, prioritized, and routed to the appropriate support group.</w:t>
      </w:r>
    </w:p>
    <w:p>
      <w:pPr>
        <w:ind w:left="259"/>
      </w:pPr>
      <w:r>
        <w:rPr>
          <w:b/>
        </w:rPr>
        <w:t xml:space="preserve">• </w:t>
      </w:r>
      <w:r>
        <w:t>L2 Investigation – Level 2 technicians investigate the issue, update work notes, and apply the required resolution.</w:t>
      </w:r>
    </w:p>
    <w:p>
      <w:pPr>
        <w:ind w:left="259"/>
      </w:pPr>
      <w:r>
        <w:rPr>
          <w:b/>
        </w:rPr>
        <w:t xml:space="preserve">• </w:t>
      </w:r>
      <w:r>
        <w:t>Change &amp; Child Incident Handling – Emergency change requests can be initiated from incidents, and child incidents can track related or recurring issues.</w:t>
      </w:r>
    </w:p>
    <w:p>
      <w:pPr>
        <w:ind w:left="259"/>
      </w:pPr>
      <w:r>
        <w:rPr>
          <w:b/>
        </w:rPr>
        <w:t xml:space="preserve">• </w:t>
      </w:r>
      <w:r>
        <w:t>Knowledge &amp; Closure – Resolved incidents can support knowledge article creation, while final closure records the resolution and SLA outcome.</w:t>
      </w:r>
    </w:p>
    <w:p>
      <w:r>
        <w:rPr>
          <w:b/>
          <w:sz w:val="26"/>
        </w:rPr>
        <w:t>Expected Outcomes</w:t>
      </w:r>
    </w:p>
    <w:p>
      <w:pPr>
        <w:ind w:left="259"/>
      </w:pPr>
      <w:r>
        <w:rPr>
          <w:b/>
        </w:rPr>
        <w:t xml:space="preserve">• </w:t>
      </w:r>
      <w:r>
        <w:t>Centralized incident tracking and improved service visibility.</w:t>
      </w:r>
    </w:p>
    <w:p>
      <w:pPr>
        <w:ind w:left="259"/>
      </w:pPr>
      <w:r>
        <w:rPr>
          <w:b/>
        </w:rPr>
        <w:t xml:space="preserve">• </w:t>
      </w:r>
      <w:r>
        <w:t>Faster resolution through Knowledge Management and solution reuse.</w:t>
      </w:r>
    </w:p>
    <w:p>
      <w:pPr>
        <w:ind w:left="259"/>
      </w:pPr>
      <w:r>
        <w:rPr>
          <w:b/>
        </w:rPr>
        <w:t xml:space="preserve">• </w:t>
      </w:r>
      <w:r>
        <w:t>Better escalation, reassignment, and collaboration across support levels.</w:t>
      </w:r>
    </w:p>
    <w:p>
      <w:pPr>
        <w:ind w:left="259"/>
      </w:pPr>
      <w:r>
        <w:rPr>
          <w:b/>
        </w:rPr>
        <w:t xml:space="preserve">• </w:t>
      </w:r>
      <w:r>
        <w:t>Improved SLA compliance and reduced risk of delayed resolution.</w:t>
      </w:r>
    </w:p>
    <w:p>
      <w:pPr>
        <w:ind w:left="259"/>
      </w:pPr>
      <w:r>
        <w:rPr>
          <w:b/>
        </w:rPr>
        <w:t xml:space="preserve">• </w:t>
      </w:r>
      <w:r>
        <w:t>Reusable knowledge captured from successful incident resolutions.</w:t>
      </w:r>
    </w:p>
    <w:p>
      <w:r>
        <w:drawing>
          <wp:inline distT="0" distB="0" distL="114298" distR="114298">
            <wp:extent cx="6400800" cy="277368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7736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Illustrative ServiceNow Incident Management workspace</w:t>
      </w:r>
    </w:p>
    <w:p>
      <w:r>
        <w:rPr>
          <w:b/>
          <w:sz w:val="26"/>
        </w:rPr>
        <w:t>References</w:t>
      </w:r>
    </w:p>
    <w:p>
      <w:r>
        <w:t>1. Provided Incident Lifecycle Automation in ServiceNow requirements.</w:t>
        <w:br/>
        <w:t>2. Provided Proposed Solution Template.</w:t>
      </w:r>
    </w:p>
    <w:sectPr>
      <w:pgSz w:w="12240" w:h="15840"/>
      <w:pgMar w:top="792" w:right="936" w:bottom="792" w:left="936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Arial" w:eastAsia="ＭＳ 明朝" w:cs="Arial" w:hAnsi="Arial"/>
      <w:sz w:val="20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437</Words>
  <Characters>2909</Characters>
  <Lines>91</Lines>
  <Paragraphs>51</Paragraphs>
  <CharactersWithSpaces>3301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2026-09-11T12:21:29Z</dcterms:modified>
</cp:coreProperties>
</file>