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52EC7" w14:textId="571F4FDB" w:rsidR="00535069" w:rsidRPr="00381FDB" w:rsidRDefault="00550D44" w:rsidP="00381FDB">
      <w:pPr>
        <w:rPr>
          <w:rFonts w:ascii="Garamond" w:hAnsi="Garamond"/>
        </w:rPr>
      </w:pPr>
      <w:r w:rsidRPr="00550D44">
        <w:rPr>
          <w:rFonts w:ascii="Garamond" w:hAnsi="Garamond"/>
        </w:rPr>
        <w:t>This Amendment C ("Amendment") to the Operating Agreement of ARIBIA LLC (the "Company") is entered into and shall be effective as of March 8, 2025, by and between IT CAN BE LLC, a Wyoming limited liability company ("Sole Member"), as the sole member of ARIBIA LLC, an Illinois limited liability company.</w:t>
      </w:r>
    </w:p>
    <w:p w14:paraId="1A215292" w14:textId="77777777" w:rsidR="00F42ACF" w:rsidRPr="00F42ACF" w:rsidRDefault="00F42ACF" w:rsidP="00F42ACF">
      <w:pPr>
        <w:rPr>
          <w:rFonts w:ascii="Garamond" w:hAnsi="Garamond"/>
        </w:rPr>
      </w:pPr>
    </w:p>
    <w:p w14:paraId="0B69694F" w14:textId="41D769FB" w:rsidR="00F42ACF" w:rsidRPr="00F42ACF" w:rsidRDefault="00F42ACF" w:rsidP="00F42ACF">
      <w:pPr>
        <w:pStyle w:val="Heading2"/>
      </w:pPr>
      <w:r w:rsidRPr="00F42ACF">
        <w:rPr>
          <w:b/>
          <w:bCs/>
        </w:rPr>
        <w:t xml:space="preserve">ARTICLE I: </w:t>
      </w:r>
      <w:r w:rsidR="00EF3652">
        <w:rPr>
          <w:b/>
          <w:bCs/>
        </w:rPr>
        <w:t>Purpose of Amendment</w:t>
      </w:r>
    </w:p>
    <w:p w14:paraId="388841A0" w14:textId="51A90F04" w:rsidR="00300E95" w:rsidRPr="00300E95" w:rsidRDefault="00300E95" w:rsidP="00BD6EFC">
      <w:pPr>
        <w:pStyle w:val="ListBullet"/>
        <w:numPr>
          <w:ilvl w:val="0"/>
          <w:numId w:val="0"/>
        </w:numPr>
        <w:ind w:left="432"/>
      </w:pPr>
      <w:proofErr w:type="gramStart"/>
      <w:r w:rsidRPr="00300E95">
        <w:t>WHEREAS,</w:t>
      </w:r>
      <w:proofErr w:type="gramEnd"/>
      <w:r w:rsidRPr="00300E95">
        <w:t xml:space="preserve"> IT CAN BE LLC became the </w:t>
      </w:r>
      <w:r w:rsidRPr="00300E95">
        <w:rPr>
          <w:b/>
          <w:bCs/>
        </w:rPr>
        <w:t>sole member</w:t>
      </w:r>
      <w:r w:rsidRPr="00300E95">
        <w:t xml:space="preserve"> of ARIBIA LLC as of </w:t>
      </w:r>
      <w:r w:rsidRPr="00300E95">
        <w:rPr>
          <w:b/>
          <w:bCs/>
        </w:rPr>
        <w:t>October 29, 2024</w:t>
      </w:r>
      <w:r w:rsidRPr="00300E95">
        <w:t>, pursuant to the Operating Agreement executed on that date;</w:t>
      </w:r>
      <w:r>
        <w:br/>
      </w:r>
    </w:p>
    <w:p w14:paraId="5E4A5F21" w14:textId="5DB1E863" w:rsidR="00300E95" w:rsidRPr="00300E95" w:rsidRDefault="00300E95" w:rsidP="00BD6EFC">
      <w:pPr>
        <w:pStyle w:val="ListBullet"/>
        <w:numPr>
          <w:ilvl w:val="0"/>
          <w:numId w:val="0"/>
        </w:numPr>
        <w:ind w:left="432"/>
      </w:pPr>
      <w:proofErr w:type="gramStart"/>
      <w:r w:rsidRPr="00300E95">
        <w:t>WHEREAS,</w:t>
      </w:r>
      <w:proofErr w:type="gramEnd"/>
      <w:r w:rsidRPr="00300E95">
        <w:t xml:space="preserve"> certain series under ARIBIA LLC were never activated, never held assets, and remained non-operational, leading to their termination in the normal course of business;</w:t>
      </w:r>
      <w:r>
        <w:br/>
      </w:r>
    </w:p>
    <w:p w14:paraId="6630642E" w14:textId="77777777" w:rsidR="00300E95" w:rsidRPr="00300E95" w:rsidRDefault="00300E95" w:rsidP="00BD6EFC">
      <w:pPr>
        <w:pStyle w:val="ListBullet"/>
        <w:numPr>
          <w:ilvl w:val="0"/>
          <w:numId w:val="0"/>
        </w:numPr>
        <w:spacing w:before="240"/>
        <w:ind w:left="792" w:hanging="360"/>
      </w:pPr>
      <w:proofErr w:type="gramStart"/>
      <w:r w:rsidRPr="00300E95">
        <w:t>WHEREAS,</w:t>
      </w:r>
      <w:proofErr w:type="gramEnd"/>
      <w:r w:rsidRPr="00300E95">
        <w:t xml:space="preserve"> the following series were </w:t>
      </w:r>
      <w:r w:rsidRPr="00300E95">
        <w:rPr>
          <w:b/>
          <w:bCs/>
        </w:rPr>
        <w:t>administratively terminated</w:t>
      </w:r>
      <w:r w:rsidRPr="00300E95">
        <w:t>:</w:t>
      </w:r>
    </w:p>
    <w:p w14:paraId="698027D4" w14:textId="3CF1F648" w:rsidR="00300E95" w:rsidRPr="00300E95" w:rsidRDefault="00300E95" w:rsidP="00BD6EFC">
      <w:pPr>
        <w:pStyle w:val="ListBullet"/>
      </w:pPr>
      <w:r w:rsidRPr="00300E95">
        <w:rPr>
          <w:b/>
          <w:bCs/>
        </w:rPr>
        <w:t>ARIBIA LLC - INTL</w:t>
      </w:r>
      <w:r w:rsidRPr="00300E95">
        <w:t xml:space="preserve"> (Terminated November 19, 2024)</w:t>
      </w:r>
    </w:p>
    <w:p w14:paraId="7484D82A" w14:textId="77777777" w:rsidR="00300E95" w:rsidRPr="00300E95" w:rsidRDefault="00300E95" w:rsidP="00BD6EFC">
      <w:pPr>
        <w:pStyle w:val="ListBullet"/>
      </w:pPr>
      <w:r w:rsidRPr="00300E95">
        <w:rPr>
          <w:b/>
          <w:bCs/>
        </w:rPr>
        <w:t>ARIBIA LLC - LAKESIDE LOFT</w:t>
      </w:r>
      <w:r w:rsidRPr="00300E95">
        <w:t xml:space="preserve"> (Terminated November 19, 2024)</w:t>
      </w:r>
    </w:p>
    <w:p w14:paraId="2765AF88" w14:textId="77777777" w:rsidR="00300E95" w:rsidRPr="00300E95" w:rsidRDefault="00300E95" w:rsidP="00BD6EFC">
      <w:pPr>
        <w:pStyle w:val="ListBullet"/>
      </w:pPr>
      <w:r w:rsidRPr="00300E95">
        <w:rPr>
          <w:b/>
          <w:bCs/>
        </w:rPr>
        <w:t>ARIBIA LLC - COZY CASTLE</w:t>
      </w:r>
      <w:r w:rsidRPr="00300E95">
        <w:t xml:space="preserve"> (Terminated November 19, 2024)</w:t>
      </w:r>
    </w:p>
    <w:p w14:paraId="030BBA05" w14:textId="3C17837F" w:rsidR="00300E95" w:rsidRPr="00300E95" w:rsidRDefault="00300E95" w:rsidP="00BD6EFC">
      <w:pPr>
        <w:pStyle w:val="ListBullet"/>
      </w:pPr>
      <w:r w:rsidRPr="00300E95">
        <w:rPr>
          <w:b/>
          <w:bCs/>
        </w:rPr>
        <w:t>ARIBIA LLC - MORADA MAMI</w:t>
      </w:r>
      <w:r w:rsidRPr="00300E95">
        <w:t xml:space="preserve"> (Terminated March 8, 2025)</w:t>
      </w:r>
      <w:r>
        <w:br/>
      </w:r>
    </w:p>
    <w:p w14:paraId="73EBFB79" w14:textId="6D1C6E69" w:rsidR="00300E95" w:rsidRPr="00300E95" w:rsidRDefault="00300E95" w:rsidP="00BD6EFC">
      <w:pPr>
        <w:pStyle w:val="ListBullet"/>
        <w:numPr>
          <w:ilvl w:val="0"/>
          <w:numId w:val="0"/>
        </w:numPr>
        <w:spacing w:before="240"/>
        <w:ind w:left="432"/>
      </w:pPr>
      <w:proofErr w:type="gramStart"/>
      <w:r w:rsidRPr="00300E95">
        <w:t>WHEREAS,</w:t>
      </w:r>
      <w:proofErr w:type="gramEnd"/>
      <w:r w:rsidRPr="00300E95">
        <w:t xml:space="preserve"> these terminations were executed </w:t>
      </w:r>
      <w:r w:rsidRPr="00300E95">
        <w:rPr>
          <w:b/>
          <w:bCs/>
        </w:rPr>
        <w:t>after the initiation of certain legal proceedings</w:t>
      </w:r>
      <w:r w:rsidRPr="00300E95">
        <w:t xml:space="preserve"> but were </w:t>
      </w:r>
      <w:r w:rsidRPr="00300E95">
        <w:rPr>
          <w:b/>
          <w:bCs/>
        </w:rPr>
        <w:t>strictly administrative actions</w:t>
      </w:r>
      <w:r w:rsidRPr="00300E95">
        <w:t xml:space="preserve"> and did not involve the transfer or liquidation of assets;</w:t>
      </w:r>
      <w:r>
        <w:br/>
      </w:r>
    </w:p>
    <w:p w14:paraId="3F1B50DD" w14:textId="76C4A9BA" w:rsidR="00300E95" w:rsidRPr="00300E95" w:rsidRDefault="00300E95" w:rsidP="00BD6EFC">
      <w:pPr>
        <w:pStyle w:val="ListBullet"/>
        <w:numPr>
          <w:ilvl w:val="0"/>
          <w:numId w:val="0"/>
        </w:numPr>
        <w:spacing w:before="240"/>
        <w:ind w:left="432"/>
      </w:pPr>
      <w:proofErr w:type="gramStart"/>
      <w:r w:rsidRPr="00300E95">
        <w:t>WHEREAS,</w:t>
      </w:r>
      <w:proofErr w:type="gramEnd"/>
      <w:r w:rsidRPr="00300E95">
        <w:t xml:space="preserve"> ARIBIA LLC has never been a marital asset, nor has it been used for personal purposes by any prior or current member, and its financial and operational records are proprietary business information;</w:t>
      </w:r>
      <w:r>
        <w:br/>
      </w:r>
    </w:p>
    <w:p w14:paraId="15F9FB17" w14:textId="71B040E0" w:rsidR="00300E95" w:rsidRPr="00300E95" w:rsidRDefault="00300E95" w:rsidP="00BD6EFC">
      <w:pPr>
        <w:pStyle w:val="ListBullet"/>
        <w:numPr>
          <w:ilvl w:val="0"/>
          <w:numId w:val="0"/>
        </w:numPr>
        <w:spacing w:before="240"/>
        <w:ind w:left="432"/>
      </w:pPr>
      <w:proofErr w:type="gramStart"/>
      <w:r w:rsidRPr="00300E95">
        <w:t>WHEREAS,</w:t>
      </w:r>
      <w:proofErr w:type="gramEnd"/>
      <w:r w:rsidRPr="00300E95">
        <w:t xml:space="preserve"> IT CAN BE LLC formally disputes any claims or legal assertions regarding the ownership, financial entitlement, or control of ARIBIA LLC made by any external party and demands compliance with contractual dispute resolution mechanisms before further litigation is pursued;</w:t>
      </w:r>
      <w:r>
        <w:br/>
      </w:r>
    </w:p>
    <w:p w14:paraId="521C29F6" w14:textId="32225BCD" w:rsidR="00F42ACF" w:rsidRPr="00F42ACF" w:rsidRDefault="00300E95" w:rsidP="00BD6EFC">
      <w:pPr>
        <w:pStyle w:val="ListBullet"/>
        <w:numPr>
          <w:ilvl w:val="0"/>
          <w:numId w:val="0"/>
        </w:numPr>
        <w:spacing w:before="240"/>
        <w:ind w:left="432"/>
      </w:pPr>
      <w:r w:rsidRPr="00300E95">
        <w:t xml:space="preserve">NOW, THEREFORE, IT CAN BE LLC, as the Sole Member of ARIBIA LLC, adopts this Amendment to document and confirm the administrative terminations of the aforementioned series, reaffirm its ownership rights, and demand adherence to contractual mediation </w:t>
      </w:r>
      <w:proofErr w:type="gramStart"/>
      <w:r w:rsidRPr="00300E95">
        <w:t>processes.</w:t>
      </w:r>
      <w:r w:rsidR="00F42ACF" w:rsidRPr="00F42ACF">
        <w:rPr>
          <w:rFonts w:ascii="Garamond" w:hAnsi="Garamond"/>
        </w:rPr>
        <w:t>.</w:t>
      </w:r>
      <w:proofErr w:type="gramEnd"/>
    </w:p>
    <w:p w14:paraId="1D82A473" w14:textId="77777777" w:rsidR="00F42ACF" w:rsidRPr="00F42ACF" w:rsidRDefault="00F42ACF" w:rsidP="00F42ACF">
      <w:pPr>
        <w:rPr>
          <w:rFonts w:ascii="Garamond" w:hAnsi="Garamond"/>
        </w:rPr>
      </w:pPr>
    </w:p>
    <w:p w14:paraId="37EBA0B3" w14:textId="519BF61E" w:rsidR="00F42ACF" w:rsidRPr="00F42ACF" w:rsidRDefault="00F42ACF" w:rsidP="00350C21">
      <w:pPr>
        <w:pStyle w:val="Heading2"/>
      </w:pPr>
      <w:r w:rsidRPr="00F42ACF">
        <w:t xml:space="preserve">ARTICLE II: </w:t>
      </w:r>
      <w:r w:rsidR="00E219ED">
        <w:t>CONfirmations of Series termination</w:t>
      </w:r>
    </w:p>
    <w:p w14:paraId="0FC30CC4" w14:textId="50F83E14" w:rsidR="00303E34" w:rsidRDefault="005A7EAF" w:rsidP="00303E34">
      <w:pPr>
        <w:pStyle w:val="ListParagraph"/>
        <w:numPr>
          <w:ilvl w:val="0"/>
          <w:numId w:val="21"/>
        </w:numPr>
        <w:rPr>
          <w:rFonts w:ascii="Garamond" w:hAnsi="Garamond"/>
          <w:b/>
          <w:bCs/>
        </w:rPr>
      </w:pPr>
      <w:r w:rsidRPr="00303E34">
        <w:rPr>
          <w:rFonts w:ascii="Garamond" w:hAnsi="Garamond"/>
          <w:b/>
          <w:bCs/>
        </w:rPr>
        <w:t xml:space="preserve"> </w:t>
      </w:r>
      <w:r w:rsidR="00303E34">
        <w:rPr>
          <w:rFonts w:ascii="Garamond" w:hAnsi="Garamond"/>
          <w:b/>
          <w:bCs/>
        </w:rPr>
        <w:t xml:space="preserve">Confirmation </w:t>
      </w:r>
      <w:r w:rsidRPr="00303E34">
        <w:rPr>
          <w:rFonts w:ascii="Garamond" w:hAnsi="Garamond"/>
          <w:b/>
          <w:bCs/>
        </w:rPr>
        <w:t>of Administrative Terminations</w:t>
      </w:r>
    </w:p>
    <w:p w14:paraId="0E90D00C" w14:textId="77777777" w:rsidR="00303E34" w:rsidRDefault="005A7EAF" w:rsidP="00303E34">
      <w:pPr>
        <w:pStyle w:val="ListParagraph"/>
        <w:numPr>
          <w:ilvl w:val="1"/>
          <w:numId w:val="21"/>
        </w:numPr>
        <w:rPr>
          <w:rFonts w:ascii="Garamond" w:hAnsi="Garamond"/>
          <w:b/>
          <w:bCs/>
        </w:rPr>
      </w:pPr>
      <w:r w:rsidRPr="00303E34">
        <w:rPr>
          <w:rFonts w:ascii="Garamond" w:hAnsi="Garamond"/>
          <w:b/>
          <w:bCs/>
        </w:rPr>
        <w:lastRenderedPageBreak/>
        <w:t>IT CAN BE LLC confirms that the listed series were terminated as part of routine business efficiency measures.</w:t>
      </w:r>
    </w:p>
    <w:p w14:paraId="4BAA14D4" w14:textId="30F695FD" w:rsidR="00303E34" w:rsidRDefault="005A7EAF" w:rsidP="005A7EAF">
      <w:pPr>
        <w:pStyle w:val="ListParagraph"/>
        <w:numPr>
          <w:ilvl w:val="1"/>
          <w:numId w:val="21"/>
        </w:numPr>
        <w:rPr>
          <w:rFonts w:ascii="Garamond" w:hAnsi="Garamond"/>
          <w:b/>
          <w:bCs/>
        </w:rPr>
      </w:pPr>
      <w:r w:rsidRPr="00303E34">
        <w:rPr>
          <w:rFonts w:ascii="Garamond" w:hAnsi="Garamond"/>
          <w:b/>
          <w:bCs/>
        </w:rPr>
        <w:t>None of the terminated series ever held assets, generated income, or engaged in operations</w:t>
      </w:r>
      <w:r w:rsidR="006609D5">
        <w:rPr>
          <w:rFonts w:ascii="Garamond" w:hAnsi="Garamond"/>
          <w:b/>
          <w:bCs/>
        </w:rPr>
        <w:br/>
      </w:r>
    </w:p>
    <w:p w14:paraId="61A5CB86" w14:textId="77777777" w:rsidR="00303E34" w:rsidRDefault="005A7EAF" w:rsidP="00303E34">
      <w:pPr>
        <w:pStyle w:val="ListParagraph"/>
        <w:numPr>
          <w:ilvl w:val="0"/>
          <w:numId w:val="21"/>
        </w:numPr>
        <w:rPr>
          <w:rFonts w:ascii="Garamond" w:hAnsi="Garamond"/>
          <w:b/>
          <w:bCs/>
        </w:rPr>
      </w:pPr>
      <w:r w:rsidRPr="00303E34">
        <w:rPr>
          <w:rFonts w:ascii="Garamond" w:hAnsi="Garamond"/>
          <w:b/>
          <w:bCs/>
        </w:rPr>
        <w:t xml:space="preserve"> Impact on Remaining Active Series</w:t>
      </w:r>
    </w:p>
    <w:p w14:paraId="6938AB15" w14:textId="77777777" w:rsidR="00303E34" w:rsidRDefault="005A7EAF" w:rsidP="00303E34">
      <w:pPr>
        <w:pStyle w:val="ListParagraph"/>
        <w:numPr>
          <w:ilvl w:val="1"/>
          <w:numId w:val="21"/>
        </w:numPr>
        <w:rPr>
          <w:rFonts w:ascii="Garamond" w:hAnsi="Garamond"/>
          <w:b/>
          <w:bCs/>
        </w:rPr>
      </w:pPr>
      <w:r w:rsidRPr="00303E34">
        <w:rPr>
          <w:rFonts w:ascii="Garamond" w:hAnsi="Garamond"/>
          <w:b/>
          <w:bCs/>
        </w:rPr>
        <w:t>The following series remain active and operational:</w:t>
      </w:r>
    </w:p>
    <w:p w14:paraId="42ED1750" w14:textId="61D63FB1" w:rsidR="00303E34" w:rsidRDefault="005A7EAF" w:rsidP="00303E34">
      <w:pPr>
        <w:pStyle w:val="ListParagraph"/>
        <w:numPr>
          <w:ilvl w:val="2"/>
          <w:numId w:val="21"/>
        </w:numPr>
        <w:rPr>
          <w:rFonts w:ascii="Garamond" w:hAnsi="Garamond"/>
          <w:b/>
          <w:bCs/>
        </w:rPr>
      </w:pPr>
      <w:r w:rsidRPr="00303E34">
        <w:rPr>
          <w:rFonts w:ascii="Garamond" w:hAnsi="Garamond"/>
          <w:b/>
          <w:bCs/>
        </w:rPr>
        <w:t xml:space="preserve">ARIBIA LLC </w:t>
      </w:r>
      <w:r w:rsidR="00303E34">
        <w:rPr>
          <w:rFonts w:ascii="Garamond" w:hAnsi="Garamond"/>
          <w:b/>
          <w:bCs/>
        </w:rPr>
        <w:t>–</w:t>
      </w:r>
      <w:r w:rsidRPr="00303E34">
        <w:rPr>
          <w:rFonts w:ascii="Garamond" w:hAnsi="Garamond"/>
          <w:b/>
          <w:bCs/>
        </w:rPr>
        <w:t xml:space="preserve"> MGMT</w:t>
      </w:r>
    </w:p>
    <w:p w14:paraId="0E4AD463" w14:textId="77777777" w:rsidR="00303E34" w:rsidRDefault="005A7EAF" w:rsidP="00303E34">
      <w:pPr>
        <w:pStyle w:val="ListParagraph"/>
        <w:numPr>
          <w:ilvl w:val="2"/>
          <w:numId w:val="21"/>
        </w:numPr>
        <w:rPr>
          <w:rFonts w:ascii="Garamond" w:hAnsi="Garamond"/>
          <w:b/>
          <w:bCs/>
        </w:rPr>
      </w:pPr>
      <w:r w:rsidRPr="00303E34">
        <w:rPr>
          <w:rFonts w:ascii="Garamond" w:hAnsi="Garamond"/>
          <w:b/>
          <w:bCs/>
        </w:rPr>
        <w:t>ARIBIA LLC - CITY STUDIO</w:t>
      </w:r>
    </w:p>
    <w:p w14:paraId="295FBC0B" w14:textId="77777777" w:rsidR="00303E34" w:rsidRDefault="005A7EAF" w:rsidP="00303E34">
      <w:pPr>
        <w:pStyle w:val="ListParagraph"/>
        <w:numPr>
          <w:ilvl w:val="2"/>
          <w:numId w:val="21"/>
        </w:numPr>
        <w:rPr>
          <w:rFonts w:ascii="Garamond" w:hAnsi="Garamond"/>
          <w:b/>
          <w:bCs/>
        </w:rPr>
      </w:pPr>
      <w:r w:rsidRPr="00303E34">
        <w:rPr>
          <w:rFonts w:ascii="Garamond" w:hAnsi="Garamond"/>
          <w:b/>
          <w:bCs/>
        </w:rPr>
        <w:t>ARIBIA LLC - APT ARLENE</w:t>
      </w:r>
    </w:p>
    <w:p w14:paraId="5CCAC388" w14:textId="7C2BA219" w:rsidR="00D8415B" w:rsidRDefault="005A7EAF" w:rsidP="005A7EAF">
      <w:pPr>
        <w:pStyle w:val="ListParagraph"/>
        <w:numPr>
          <w:ilvl w:val="1"/>
          <w:numId w:val="21"/>
        </w:numPr>
        <w:rPr>
          <w:rFonts w:ascii="Garamond" w:hAnsi="Garamond"/>
          <w:b/>
          <w:bCs/>
        </w:rPr>
      </w:pPr>
      <w:r w:rsidRPr="00303E34">
        <w:rPr>
          <w:rFonts w:ascii="Garamond" w:hAnsi="Garamond"/>
          <w:b/>
          <w:bCs/>
        </w:rPr>
        <w:t>IT CAN BE LLC reserves the right to dissolve additional series if they become inactive or redundant.</w:t>
      </w:r>
      <w:r w:rsidR="006609D5">
        <w:rPr>
          <w:rFonts w:ascii="Garamond" w:hAnsi="Garamond"/>
          <w:b/>
          <w:bCs/>
        </w:rPr>
        <w:br/>
      </w:r>
    </w:p>
    <w:p w14:paraId="24C8723B" w14:textId="77777777" w:rsidR="00D8415B" w:rsidRDefault="005A7EAF" w:rsidP="00D8415B">
      <w:pPr>
        <w:pStyle w:val="ListParagraph"/>
        <w:numPr>
          <w:ilvl w:val="0"/>
          <w:numId w:val="21"/>
        </w:numPr>
        <w:rPr>
          <w:rFonts w:ascii="Garamond" w:hAnsi="Garamond"/>
          <w:b/>
          <w:bCs/>
        </w:rPr>
      </w:pPr>
      <w:r w:rsidRPr="00D8415B">
        <w:rPr>
          <w:rFonts w:ascii="Garamond" w:hAnsi="Garamond"/>
          <w:b/>
          <w:bCs/>
        </w:rPr>
        <w:t xml:space="preserve"> Legal and Disclosure Position</w:t>
      </w:r>
    </w:p>
    <w:p w14:paraId="5282FCDF" w14:textId="77777777" w:rsidR="00D8415B" w:rsidRDefault="005A7EAF" w:rsidP="00D8415B">
      <w:pPr>
        <w:pStyle w:val="ListParagraph"/>
        <w:numPr>
          <w:ilvl w:val="1"/>
          <w:numId w:val="21"/>
        </w:numPr>
        <w:rPr>
          <w:rFonts w:ascii="Garamond" w:hAnsi="Garamond"/>
          <w:b/>
          <w:bCs/>
        </w:rPr>
      </w:pPr>
      <w:r w:rsidRPr="00D8415B">
        <w:rPr>
          <w:rFonts w:ascii="Garamond" w:hAnsi="Garamond"/>
          <w:b/>
          <w:bCs/>
        </w:rPr>
        <w:t>IT CAN BE LLC affirms that these series terminations were conducted independently of any efforts to shield assets and were normal business actions unrelated to ongoing litigation.</w:t>
      </w:r>
    </w:p>
    <w:p w14:paraId="274E9368" w14:textId="77777777" w:rsidR="00D8415B" w:rsidRDefault="005A7EAF" w:rsidP="00D8415B">
      <w:pPr>
        <w:pStyle w:val="ListParagraph"/>
        <w:numPr>
          <w:ilvl w:val="1"/>
          <w:numId w:val="21"/>
        </w:numPr>
        <w:rPr>
          <w:rFonts w:ascii="Garamond" w:hAnsi="Garamond"/>
          <w:b/>
          <w:bCs/>
        </w:rPr>
      </w:pPr>
      <w:r w:rsidRPr="00D8415B">
        <w:rPr>
          <w:rFonts w:ascii="Garamond" w:hAnsi="Garamond"/>
          <w:b/>
          <w:bCs/>
        </w:rPr>
        <w:t>IT CAN BE LLC asserts that ARIBIA LLC is not a marital asset and should not be subject to disclosure in divorce proceedings.</w:t>
      </w:r>
    </w:p>
    <w:p w14:paraId="073AFEE7" w14:textId="77777777" w:rsidR="006609D5" w:rsidRDefault="005A7EAF" w:rsidP="005A7EAF">
      <w:pPr>
        <w:pStyle w:val="ListParagraph"/>
        <w:numPr>
          <w:ilvl w:val="1"/>
          <w:numId w:val="21"/>
        </w:numPr>
        <w:rPr>
          <w:rFonts w:ascii="Garamond" w:hAnsi="Garamond"/>
          <w:b/>
          <w:bCs/>
        </w:rPr>
      </w:pPr>
      <w:r w:rsidRPr="00D8415B">
        <w:rPr>
          <w:rFonts w:ascii="Garamond" w:hAnsi="Garamond"/>
          <w:b/>
          <w:bCs/>
        </w:rPr>
        <w:t>Any request for disclosure of ARIBIA LLC’s financial records shall be evaluated in accordance with applicable laws regarding business confidentiality and ownership rights.</w:t>
      </w:r>
    </w:p>
    <w:p w14:paraId="172038D5" w14:textId="2A2C796C" w:rsidR="005A7EAF" w:rsidRPr="006609D5" w:rsidRDefault="005A7EAF" w:rsidP="005A7EAF">
      <w:pPr>
        <w:pStyle w:val="ListParagraph"/>
        <w:numPr>
          <w:ilvl w:val="1"/>
          <w:numId w:val="21"/>
        </w:numPr>
        <w:rPr>
          <w:rFonts w:ascii="Garamond" w:hAnsi="Garamond"/>
          <w:b/>
          <w:bCs/>
        </w:rPr>
      </w:pPr>
      <w:r w:rsidRPr="006609D5">
        <w:rPr>
          <w:rFonts w:ascii="Garamond" w:hAnsi="Garamond"/>
          <w:b/>
          <w:bCs/>
        </w:rPr>
        <w:t xml:space="preserve">IT CAN BE LLC formally demands adherence to the mandatory mediation and dispute resolution </w:t>
      </w:r>
      <w:proofErr w:type="spellStart"/>
      <w:r w:rsidRPr="006609D5">
        <w:rPr>
          <w:rFonts w:ascii="Garamond" w:hAnsi="Garamond"/>
          <w:b/>
          <w:bCs/>
        </w:rPr>
        <w:t>provisionsoutlined</w:t>
      </w:r>
      <w:proofErr w:type="spellEnd"/>
      <w:r w:rsidRPr="006609D5">
        <w:rPr>
          <w:rFonts w:ascii="Garamond" w:hAnsi="Garamond"/>
          <w:b/>
          <w:bCs/>
        </w:rPr>
        <w:t xml:space="preserve"> in the ARIBIA LLC Operating Agreement and related agreements before further litigation is pursued.</w:t>
      </w:r>
    </w:p>
    <w:p w14:paraId="6C06CA1E" w14:textId="01CBBEE1" w:rsidR="00F42ACF" w:rsidRPr="00F42ACF" w:rsidRDefault="00F42ACF" w:rsidP="00E219ED">
      <w:pPr>
        <w:rPr>
          <w:rFonts w:ascii="Garamond" w:hAnsi="Garamond"/>
        </w:rPr>
      </w:pPr>
    </w:p>
    <w:p w14:paraId="5B84E0CD" w14:textId="2B329652" w:rsidR="00F42ACF" w:rsidRPr="00F42ACF" w:rsidRDefault="00F42ACF" w:rsidP="00350C21">
      <w:pPr>
        <w:pStyle w:val="Heading2"/>
      </w:pPr>
      <w:r w:rsidRPr="00F42ACF">
        <w:t xml:space="preserve">ARTICLE III: </w:t>
      </w:r>
      <w:r w:rsidR="00286A19">
        <w:t>General Provisions</w:t>
      </w:r>
    </w:p>
    <w:p w14:paraId="2C8F2703" w14:textId="0AD873F6" w:rsidR="00286A19" w:rsidRPr="00286A19" w:rsidRDefault="00286A19" w:rsidP="00286A19">
      <w:pPr>
        <w:pStyle w:val="ListParagraph"/>
        <w:numPr>
          <w:ilvl w:val="0"/>
          <w:numId w:val="22"/>
        </w:numPr>
        <w:rPr>
          <w:rFonts w:ascii="Garamond" w:hAnsi="Garamond"/>
          <w:b/>
          <w:bCs/>
        </w:rPr>
      </w:pPr>
      <w:r w:rsidRPr="00286A19">
        <w:rPr>
          <w:rFonts w:ascii="Garamond" w:hAnsi="Garamond"/>
          <w:b/>
          <w:bCs/>
        </w:rPr>
        <w:t>No Effect on Ownership or Management</w:t>
      </w:r>
    </w:p>
    <w:p w14:paraId="52CD110E" w14:textId="77777777" w:rsidR="00286A19" w:rsidRDefault="00286A19" w:rsidP="00286A19">
      <w:pPr>
        <w:pStyle w:val="ListParagraph"/>
        <w:numPr>
          <w:ilvl w:val="1"/>
          <w:numId w:val="22"/>
        </w:numPr>
        <w:rPr>
          <w:rFonts w:ascii="Garamond" w:hAnsi="Garamond"/>
          <w:b/>
          <w:bCs/>
        </w:rPr>
      </w:pPr>
      <w:r w:rsidRPr="00286A19">
        <w:rPr>
          <w:rFonts w:ascii="Garamond" w:hAnsi="Garamond"/>
          <w:b/>
          <w:bCs/>
        </w:rPr>
        <w:t>This Amendment does not alter the ownership or management structure of ARIBIA LLC.</w:t>
      </w:r>
    </w:p>
    <w:p w14:paraId="0F7DC598" w14:textId="2E7721CB" w:rsidR="00286A19" w:rsidRPr="00286A19" w:rsidRDefault="00286A19" w:rsidP="00286A19">
      <w:pPr>
        <w:pStyle w:val="ListParagraph"/>
        <w:numPr>
          <w:ilvl w:val="1"/>
          <w:numId w:val="22"/>
        </w:numPr>
        <w:rPr>
          <w:rFonts w:ascii="Garamond" w:hAnsi="Garamond"/>
          <w:b/>
          <w:bCs/>
        </w:rPr>
      </w:pPr>
      <w:r w:rsidRPr="00286A19">
        <w:rPr>
          <w:rFonts w:ascii="Garamond" w:hAnsi="Garamond"/>
          <w:b/>
          <w:bCs/>
        </w:rPr>
        <w:t>IT CAN BE LLC remains the sole member of ARIBIA LLC with full control over governance and decision-making.</w:t>
      </w:r>
      <w:r>
        <w:rPr>
          <w:rFonts w:ascii="Garamond" w:hAnsi="Garamond"/>
          <w:b/>
          <w:bCs/>
        </w:rPr>
        <w:br/>
      </w:r>
    </w:p>
    <w:p w14:paraId="0D7AAA3C" w14:textId="35E16C4E" w:rsidR="00286A19" w:rsidRPr="00286A19" w:rsidRDefault="00286A19" w:rsidP="00286A19">
      <w:pPr>
        <w:pStyle w:val="ListParagraph"/>
        <w:numPr>
          <w:ilvl w:val="0"/>
          <w:numId w:val="22"/>
        </w:numPr>
        <w:rPr>
          <w:rFonts w:ascii="Garamond" w:hAnsi="Garamond"/>
          <w:b/>
          <w:bCs/>
        </w:rPr>
      </w:pPr>
      <w:r w:rsidRPr="00286A19">
        <w:rPr>
          <w:rFonts w:ascii="Garamond" w:hAnsi="Garamond"/>
          <w:b/>
          <w:bCs/>
        </w:rPr>
        <w:t>Governing Law</w:t>
      </w:r>
    </w:p>
    <w:p w14:paraId="38CACF2F" w14:textId="39AC9FB1" w:rsidR="00286A19" w:rsidRPr="00286A19" w:rsidRDefault="00286A19" w:rsidP="00286A19">
      <w:pPr>
        <w:pStyle w:val="ListParagraph"/>
        <w:ind w:left="1080"/>
        <w:rPr>
          <w:rFonts w:ascii="Garamond" w:hAnsi="Garamond"/>
          <w:b/>
          <w:bCs/>
        </w:rPr>
      </w:pPr>
      <w:r w:rsidRPr="00286A19">
        <w:rPr>
          <w:rFonts w:ascii="Garamond" w:hAnsi="Garamond"/>
          <w:b/>
          <w:bCs/>
        </w:rPr>
        <w:t>This Amendment shall be governed by and construed in accordance with the laws of the State of Illinois.</w:t>
      </w:r>
      <w:r>
        <w:rPr>
          <w:rFonts w:ascii="Garamond" w:hAnsi="Garamond"/>
          <w:b/>
          <w:bCs/>
        </w:rPr>
        <w:br/>
      </w:r>
    </w:p>
    <w:p w14:paraId="5F4F2B23" w14:textId="7B36D8D2" w:rsidR="00286A19" w:rsidRPr="00286A19" w:rsidRDefault="00286A19" w:rsidP="00286A19">
      <w:pPr>
        <w:pStyle w:val="ListParagraph"/>
        <w:numPr>
          <w:ilvl w:val="0"/>
          <w:numId w:val="22"/>
        </w:numPr>
        <w:rPr>
          <w:rFonts w:ascii="Garamond" w:hAnsi="Garamond"/>
          <w:b/>
          <w:bCs/>
        </w:rPr>
      </w:pPr>
      <w:r w:rsidRPr="00286A19">
        <w:rPr>
          <w:rFonts w:ascii="Garamond" w:hAnsi="Garamond"/>
          <w:b/>
          <w:bCs/>
        </w:rPr>
        <w:t>Severability</w:t>
      </w:r>
    </w:p>
    <w:p w14:paraId="273D4A19" w14:textId="4F383095" w:rsidR="00286A19" w:rsidRPr="00286A19" w:rsidRDefault="00286A19" w:rsidP="00286A19">
      <w:pPr>
        <w:pStyle w:val="ListParagraph"/>
        <w:ind w:left="1080"/>
        <w:rPr>
          <w:rFonts w:ascii="Garamond" w:hAnsi="Garamond"/>
          <w:b/>
          <w:bCs/>
        </w:rPr>
      </w:pPr>
      <w:r w:rsidRPr="00286A19">
        <w:rPr>
          <w:rFonts w:ascii="Garamond" w:hAnsi="Garamond"/>
          <w:b/>
          <w:bCs/>
        </w:rPr>
        <w:t>If any provision of this Amendment is found to be unenforceable, the remaining provisions shall remain in full force and effect.</w:t>
      </w:r>
      <w:r>
        <w:rPr>
          <w:rFonts w:ascii="Garamond" w:hAnsi="Garamond"/>
          <w:b/>
          <w:bCs/>
        </w:rPr>
        <w:br/>
      </w:r>
    </w:p>
    <w:p w14:paraId="0D8097C4" w14:textId="194AF1BA" w:rsidR="00286A19" w:rsidRPr="00286A19" w:rsidRDefault="00286A19" w:rsidP="00286A19">
      <w:pPr>
        <w:pStyle w:val="ListParagraph"/>
        <w:numPr>
          <w:ilvl w:val="0"/>
          <w:numId w:val="22"/>
        </w:numPr>
        <w:rPr>
          <w:rFonts w:ascii="Garamond" w:hAnsi="Garamond"/>
          <w:b/>
          <w:bCs/>
        </w:rPr>
      </w:pPr>
      <w:r w:rsidRPr="00286A19">
        <w:rPr>
          <w:rFonts w:ascii="Garamond" w:hAnsi="Garamond"/>
          <w:b/>
          <w:bCs/>
        </w:rPr>
        <w:t>Entire Agreement</w:t>
      </w:r>
    </w:p>
    <w:p w14:paraId="27836FB5" w14:textId="47D9E705" w:rsidR="00286A19" w:rsidRPr="00286A19" w:rsidRDefault="00286A19" w:rsidP="00286A19">
      <w:pPr>
        <w:pStyle w:val="ListParagraph"/>
        <w:ind w:left="1080"/>
        <w:rPr>
          <w:rFonts w:ascii="Garamond" w:hAnsi="Garamond"/>
          <w:b/>
          <w:bCs/>
        </w:rPr>
      </w:pPr>
      <w:r w:rsidRPr="00286A19">
        <w:rPr>
          <w:rFonts w:ascii="Garamond" w:hAnsi="Garamond"/>
          <w:b/>
          <w:bCs/>
        </w:rPr>
        <w:t>This Amendment, along with the Operating Agreement dated October 29, 2024, constitutes the full and complete agreement governing ARIBIA LLC.</w:t>
      </w:r>
    </w:p>
    <w:p w14:paraId="176C08D3" w14:textId="77777777" w:rsidR="00F42ACF" w:rsidRPr="00F42ACF" w:rsidRDefault="00F42ACF" w:rsidP="00F42ACF">
      <w:pPr>
        <w:rPr>
          <w:rFonts w:ascii="Garamond" w:hAnsi="Garamond"/>
        </w:rPr>
      </w:pPr>
    </w:p>
    <w:p w14:paraId="269B54CE" w14:textId="77777777" w:rsidR="00F42ACF" w:rsidRPr="00F42ACF" w:rsidRDefault="00F42ACF" w:rsidP="00F42ACF">
      <w:pPr>
        <w:rPr>
          <w:rFonts w:ascii="Garamond" w:hAnsi="Garamond"/>
        </w:rPr>
      </w:pPr>
      <w:r w:rsidRPr="00F42ACF">
        <w:rPr>
          <w:rFonts w:ascii="Garamond" w:hAnsi="Garamond"/>
          <w:b/>
          <w:bCs/>
        </w:rPr>
        <w:lastRenderedPageBreak/>
        <w:t>SIGNATURES</w:t>
      </w:r>
    </w:p>
    <w:p w14:paraId="3011279F" w14:textId="77777777" w:rsidR="00F42ACF" w:rsidRPr="00F42ACF" w:rsidRDefault="00F42ACF" w:rsidP="00F42ACF">
      <w:pPr>
        <w:rPr>
          <w:rFonts w:ascii="Garamond" w:hAnsi="Garamond"/>
        </w:rPr>
      </w:pPr>
    </w:p>
    <w:p w14:paraId="250F74AA" w14:textId="7732CE85" w:rsidR="00FA1B51" w:rsidRPr="001E23AD" w:rsidRDefault="00F42ACF" w:rsidP="00F42ACF">
      <w:pPr>
        <w:rPr>
          <w:rFonts w:ascii="Garamond" w:hAnsi="Garamond"/>
        </w:rPr>
      </w:pPr>
      <w:r w:rsidRPr="00F42ACF">
        <w:rPr>
          <w:rFonts w:ascii="Garamond" w:hAnsi="Garamond"/>
        </w:rPr>
        <w:t xml:space="preserve">IN WITNESS WHEREOF, the undersigned have executed this </w:t>
      </w:r>
      <w:r w:rsidRPr="00F42ACF">
        <w:rPr>
          <w:rFonts w:ascii="Garamond" w:hAnsi="Garamond"/>
          <w:b/>
          <w:bCs/>
        </w:rPr>
        <w:t>Amendment B</w:t>
      </w:r>
      <w:r w:rsidRPr="00F42ACF">
        <w:rPr>
          <w:rFonts w:ascii="Garamond" w:hAnsi="Garamond"/>
        </w:rPr>
        <w:t xml:space="preserve"> as of the date first written above.</w:t>
      </w:r>
    </w:p>
    <w:p w14:paraId="20D6162B" w14:textId="7329C4F7" w:rsidR="00FA1B51" w:rsidRPr="001E23AD" w:rsidRDefault="00FA1B51">
      <w:pPr>
        <w:rPr>
          <w:rFonts w:ascii="Garamond" w:hAnsi="Garamond"/>
        </w:rPr>
      </w:pPr>
    </w:p>
    <w:p w14:paraId="15A85B9A" w14:textId="77777777" w:rsidR="001E23AD" w:rsidRDefault="00890B34">
      <w:pPr>
        <w:rPr>
          <w:rFonts w:ascii="Garamond" w:hAnsi="Garamond"/>
        </w:rPr>
        <w:sectPr w:rsidR="001E23AD" w:rsidSect="00890B34">
          <w:footerReference w:type="default" r:id="rId11"/>
          <w:headerReference w:type="first" r:id="rId12"/>
          <w:pgSz w:w="12240" w:h="15840"/>
          <w:pgMar w:top="1440" w:right="1800" w:bottom="1440" w:left="1800" w:header="720" w:footer="720" w:gutter="0"/>
          <w:cols w:space="720"/>
          <w:titlePg/>
          <w:docGrid w:linePitch="360"/>
        </w:sectPr>
      </w:pPr>
      <w:r w:rsidRPr="001E23AD">
        <w:rPr>
          <w:rFonts w:ascii="Garamond" w:hAnsi="Garamond"/>
        </w:rPr>
        <w:t>IT CAN BE LLC</w:t>
      </w:r>
      <w:r w:rsidRPr="001E23AD">
        <w:rPr>
          <w:rFonts w:ascii="Garamond" w:hAnsi="Garamond"/>
        </w:rPr>
        <w:br/>
        <w:t>Sole Member of ARIBIA LLC</w:t>
      </w:r>
      <w:r w:rsidRPr="001E23AD">
        <w:rPr>
          <w:rFonts w:ascii="Garamond" w:hAnsi="Garamond"/>
        </w:rPr>
        <w:br/>
      </w:r>
      <w:r w:rsidRPr="001E23AD">
        <w:rPr>
          <w:rFonts w:ascii="Garamond" w:hAnsi="Garamond"/>
        </w:rPr>
        <w:br/>
      </w:r>
    </w:p>
    <w:p w14:paraId="0919D765" w14:textId="77777777" w:rsidR="001E23AD" w:rsidRDefault="001E23AD">
      <w:pPr>
        <w:rPr>
          <w:rFonts w:ascii="Garamond" w:hAnsi="Garamond"/>
        </w:rPr>
      </w:pPr>
    </w:p>
    <w:p w14:paraId="3671E1E2" w14:textId="77777777" w:rsidR="001E23AD" w:rsidRDefault="001E23AD">
      <w:pPr>
        <w:rPr>
          <w:rFonts w:ascii="Garamond" w:hAnsi="Garamond"/>
        </w:rPr>
      </w:pPr>
    </w:p>
    <w:p w14:paraId="1DBAFC27" w14:textId="3F68E6FA" w:rsidR="001E23AD" w:rsidRDefault="00890B34">
      <w:pPr>
        <w:rPr>
          <w:rFonts w:ascii="Garamond" w:hAnsi="Garamond"/>
        </w:rPr>
      </w:pPr>
      <w:r w:rsidRPr="001E23AD">
        <w:rPr>
          <w:rFonts w:ascii="Garamond" w:hAnsi="Garamond"/>
        </w:rPr>
        <w:t>By: ___________________________</w:t>
      </w:r>
      <w:r w:rsidRPr="001E23AD">
        <w:rPr>
          <w:rFonts w:ascii="Garamond" w:hAnsi="Garamond"/>
        </w:rPr>
        <w:br/>
        <w:t>Nicholas Anthony Jones Bianchi</w:t>
      </w:r>
      <w:r w:rsidRPr="001E23AD">
        <w:rPr>
          <w:rFonts w:ascii="Garamond" w:hAnsi="Garamond"/>
        </w:rPr>
        <w:br/>
        <w:t>Authorized Representative</w:t>
      </w:r>
      <w:r w:rsidRPr="001E23AD">
        <w:rPr>
          <w:rFonts w:ascii="Garamond" w:hAnsi="Garamond"/>
        </w:rPr>
        <w:br/>
      </w:r>
      <w:r w:rsidRPr="001E23AD">
        <w:rPr>
          <w:rFonts w:ascii="Garamond" w:hAnsi="Garamond"/>
        </w:rPr>
        <w:br/>
      </w:r>
    </w:p>
    <w:p w14:paraId="193D682B" w14:textId="77777777" w:rsidR="001E23AD" w:rsidRDefault="001E23AD">
      <w:pPr>
        <w:rPr>
          <w:rFonts w:ascii="Garamond" w:hAnsi="Garamond"/>
        </w:rPr>
      </w:pPr>
    </w:p>
    <w:p w14:paraId="4F4B08F4" w14:textId="77777777" w:rsidR="001E23AD" w:rsidRDefault="001E23AD">
      <w:pPr>
        <w:rPr>
          <w:rFonts w:ascii="Garamond" w:hAnsi="Garamond"/>
        </w:rPr>
      </w:pPr>
    </w:p>
    <w:p w14:paraId="76CEDF2F" w14:textId="566292A8" w:rsidR="001E23AD" w:rsidRDefault="00890B34">
      <w:pPr>
        <w:rPr>
          <w:rFonts w:ascii="Garamond" w:hAnsi="Garamond"/>
        </w:rPr>
        <w:sectPr w:rsidR="001E23AD" w:rsidSect="001E23AD">
          <w:type w:val="continuous"/>
          <w:pgSz w:w="12240" w:h="15840"/>
          <w:pgMar w:top="1440" w:right="1800" w:bottom="1440" w:left="1800" w:header="720" w:footer="720" w:gutter="0"/>
          <w:cols w:num="2" w:space="720"/>
          <w:docGrid w:linePitch="360"/>
        </w:sectPr>
      </w:pPr>
      <w:r w:rsidRPr="001E23AD">
        <w:rPr>
          <w:rFonts w:ascii="Garamond" w:hAnsi="Garamond"/>
        </w:rPr>
        <w:t>By: ___________________________</w:t>
      </w:r>
      <w:r w:rsidRPr="001E23AD">
        <w:rPr>
          <w:rFonts w:ascii="Garamond" w:hAnsi="Garamond"/>
        </w:rPr>
        <w:br/>
        <w:t xml:space="preserve">Sharon </w:t>
      </w:r>
      <w:r w:rsidR="001E23AD">
        <w:rPr>
          <w:rFonts w:ascii="Garamond" w:hAnsi="Garamond"/>
        </w:rPr>
        <w:t xml:space="preserve">E </w:t>
      </w:r>
      <w:r w:rsidRPr="001E23AD">
        <w:rPr>
          <w:rFonts w:ascii="Garamond" w:hAnsi="Garamond"/>
        </w:rPr>
        <w:t>Jones</w:t>
      </w:r>
      <w:r w:rsidRPr="001E23AD">
        <w:rPr>
          <w:rFonts w:ascii="Garamond" w:hAnsi="Garamond"/>
        </w:rPr>
        <w:br/>
        <w:t>Authorized Representative</w:t>
      </w:r>
    </w:p>
    <w:p w14:paraId="501D2472" w14:textId="296816BF" w:rsidR="00FA1B51" w:rsidRPr="001E23AD" w:rsidRDefault="00890B34">
      <w:pPr>
        <w:rPr>
          <w:rFonts w:ascii="Garamond" w:hAnsi="Garamond"/>
        </w:rPr>
      </w:pPr>
      <w:r w:rsidRPr="001E23AD">
        <w:rPr>
          <w:rFonts w:ascii="Garamond" w:hAnsi="Garamond"/>
        </w:rPr>
        <w:br/>
      </w:r>
      <w:r w:rsidRPr="001E23AD">
        <w:rPr>
          <w:rFonts w:ascii="Garamond" w:hAnsi="Garamond"/>
        </w:rPr>
        <w:br/>
      </w:r>
    </w:p>
    <w:sectPr w:rsidR="00FA1B51" w:rsidRPr="001E23AD" w:rsidSect="001E23A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95379" w14:textId="77777777" w:rsidR="00DF6502" w:rsidRDefault="00DF6502" w:rsidP="001E23AD">
      <w:pPr>
        <w:spacing w:before="0" w:after="0" w:line="240" w:lineRule="auto"/>
      </w:pPr>
      <w:r>
        <w:separator/>
      </w:r>
    </w:p>
  </w:endnote>
  <w:endnote w:type="continuationSeparator" w:id="0">
    <w:p w14:paraId="5163436A" w14:textId="77777777" w:rsidR="00DF6502" w:rsidRDefault="00DF6502" w:rsidP="001E23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3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B5EDA" w14:textId="6A47B2EB" w:rsidR="001E23AD" w:rsidRPr="00F42ACF" w:rsidRDefault="001E23AD" w:rsidP="00F42ACF">
    <w:r w:rsidRPr="00F42ACF">
      <w:t>Date: March 8,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4E016" w14:textId="77777777" w:rsidR="00DF6502" w:rsidRDefault="00DF6502" w:rsidP="001E23AD">
      <w:pPr>
        <w:spacing w:before="0" w:after="0" w:line="240" w:lineRule="auto"/>
      </w:pPr>
      <w:r>
        <w:separator/>
      </w:r>
    </w:p>
  </w:footnote>
  <w:footnote w:type="continuationSeparator" w:id="0">
    <w:p w14:paraId="710DC380" w14:textId="77777777" w:rsidR="00DF6502" w:rsidRDefault="00DF6502" w:rsidP="001E23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F0C76" w14:textId="72BC9974" w:rsidR="00890B34" w:rsidRPr="00890B34" w:rsidRDefault="00890B34" w:rsidP="00890B34">
    <w:pPr>
      <w:pStyle w:val="Title"/>
    </w:pPr>
    <w:r w:rsidRPr="00F42ACF">
      <w:t xml:space="preserve">AMENDMENT </w:t>
    </w:r>
    <w:r w:rsidR="00381FDB">
      <w:t>C</w:t>
    </w:r>
    <w:r>
      <w:br/>
    </w:r>
    <w:r w:rsidRPr="00F42ACF">
      <w:rPr>
        <w:sz w:val="28"/>
        <w:szCs w:val="28"/>
      </w:rPr>
      <w:t>TO THE OPERATING AGREEMENT OF ARIBIA LLC</w:t>
    </w:r>
  </w:p>
  <w:p w14:paraId="542BA97E" w14:textId="77777777" w:rsidR="00890B34" w:rsidRDefault="00890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D4E7BB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C9851F5"/>
    <w:multiLevelType w:val="hybridMultilevel"/>
    <w:tmpl w:val="D07E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C0588"/>
    <w:multiLevelType w:val="hybridMultilevel"/>
    <w:tmpl w:val="0EEE0108"/>
    <w:lvl w:ilvl="0" w:tplc="AB7AEE66">
      <w:numFmt w:val="bullet"/>
      <w:lvlText w:val="•"/>
      <w:lvlJc w:val="left"/>
      <w:pPr>
        <w:ind w:left="1440" w:hanging="72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EC7412"/>
    <w:multiLevelType w:val="hybridMultilevel"/>
    <w:tmpl w:val="3DA8B13E"/>
    <w:lvl w:ilvl="0" w:tplc="126882F0">
      <w:start w:val="1"/>
      <w:numFmt w:val="bullet"/>
      <w:lvlText w:val=""/>
      <w:lvlJc w:val="left"/>
      <w:pPr>
        <w:tabs>
          <w:tab w:val="num" w:pos="1152"/>
        </w:tabs>
        <w:ind w:left="1368"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880997"/>
    <w:multiLevelType w:val="hybridMultilevel"/>
    <w:tmpl w:val="8536D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71D94"/>
    <w:multiLevelType w:val="hybridMultilevel"/>
    <w:tmpl w:val="C9182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0085A"/>
    <w:multiLevelType w:val="hybridMultilevel"/>
    <w:tmpl w:val="C3261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31F2C"/>
    <w:multiLevelType w:val="hybridMultilevel"/>
    <w:tmpl w:val="1728D6B8"/>
    <w:lvl w:ilvl="0" w:tplc="0409000F">
      <w:start w:val="1"/>
      <w:numFmt w:val="decimal"/>
      <w:pStyle w:val="ListBullet"/>
      <w:lvlText w:val="%1."/>
      <w:lvlJc w:val="left"/>
      <w:pPr>
        <w:ind w:left="792" w:hanging="360"/>
      </w:pPr>
      <w:rPr>
        <w:rFonts w:hint="default"/>
      </w:rPr>
    </w:lvl>
    <w:lvl w:ilvl="1" w:tplc="0E120B0C">
      <w:start w:val="1"/>
      <w:numFmt w:val="lowerLetter"/>
      <w:lvlText w:val="%2."/>
      <w:lvlJc w:val="left"/>
      <w:pPr>
        <w:ind w:left="1440" w:hanging="360"/>
      </w:pPr>
      <w:rPr>
        <w:rFonts w:asciiTheme="minorHAnsi" w:eastAsiaTheme="minorEastAsia"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D5887"/>
    <w:multiLevelType w:val="hybridMultilevel"/>
    <w:tmpl w:val="AD8C645E"/>
    <w:lvl w:ilvl="0" w:tplc="92F2DAF0">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F59FA"/>
    <w:multiLevelType w:val="hybridMultilevel"/>
    <w:tmpl w:val="4B3CD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A2D28"/>
    <w:multiLevelType w:val="hybridMultilevel"/>
    <w:tmpl w:val="EA16F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502011">
    <w:abstractNumId w:val="8"/>
  </w:num>
  <w:num w:numId="2" w16cid:durableId="778991752">
    <w:abstractNumId w:val="6"/>
  </w:num>
  <w:num w:numId="3" w16cid:durableId="619339257">
    <w:abstractNumId w:val="5"/>
  </w:num>
  <w:num w:numId="4" w16cid:durableId="1131636146">
    <w:abstractNumId w:val="4"/>
  </w:num>
  <w:num w:numId="5" w16cid:durableId="511917541">
    <w:abstractNumId w:val="7"/>
  </w:num>
  <w:num w:numId="6" w16cid:durableId="1765419488">
    <w:abstractNumId w:val="3"/>
  </w:num>
  <w:num w:numId="7" w16cid:durableId="389110782">
    <w:abstractNumId w:val="2"/>
  </w:num>
  <w:num w:numId="8" w16cid:durableId="1210454258">
    <w:abstractNumId w:val="1"/>
  </w:num>
  <w:num w:numId="9" w16cid:durableId="162359654">
    <w:abstractNumId w:val="0"/>
  </w:num>
  <w:num w:numId="10" w16cid:durableId="1511680468">
    <w:abstractNumId w:val="18"/>
  </w:num>
  <w:num w:numId="11" w16cid:durableId="1412048751">
    <w:abstractNumId w:val="14"/>
  </w:num>
  <w:num w:numId="12" w16cid:durableId="256210673">
    <w:abstractNumId w:val="13"/>
  </w:num>
  <w:num w:numId="13" w16cid:durableId="338822422">
    <w:abstractNumId w:val="15"/>
  </w:num>
  <w:num w:numId="14" w16cid:durableId="480780752">
    <w:abstractNumId w:val="16"/>
  </w:num>
  <w:num w:numId="15" w16cid:durableId="1776099355">
    <w:abstractNumId w:val="17"/>
  </w:num>
  <w:num w:numId="16" w16cid:durableId="1147210144">
    <w:abstractNumId w:val="21"/>
  </w:num>
  <w:num w:numId="17" w16cid:durableId="35082589">
    <w:abstractNumId w:val="9"/>
  </w:num>
  <w:num w:numId="18" w16cid:durableId="581335282">
    <w:abstractNumId w:val="10"/>
  </w:num>
  <w:num w:numId="19" w16cid:durableId="553085961">
    <w:abstractNumId w:val="11"/>
  </w:num>
  <w:num w:numId="20" w16cid:durableId="801195829">
    <w:abstractNumId w:val="12"/>
  </w:num>
  <w:num w:numId="21" w16cid:durableId="374820389">
    <w:abstractNumId w:val="20"/>
  </w:num>
  <w:num w:numId="22" w16cid:durableId="9259226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FCC"/>
    <w:rsid w:val="00034616"/>
    <w:rsid w:val="0006063C"/>
    <w:rsid w:val="0015074B"/>
    <w:rsid w:val="00155015"/>
    <w:rsid w:val="001E23AD"/>
    <w:rsid w:val="00286A19"/>
    <w:rsid w:val="0029639D"/>
    <w:rsid w:val="002E7E24"/>
    <w:rsid w:val="00300E95"/>
    <w:rsid w:val="00303E34"/>
    <w:rsid w:val="00313FA9"/>
    <w:rsid w:val="00326F90"/>
    <w:rsid w:val="00350C21"/>
    <w:rsid w:val="00381FDB"/>
    <w:rsid w:val="003D74CB"/>
    <w:rsid w:val="00535069"/>
    <w:rsid w:val="00550D44"/>
    <w:rsid w:val="005A7EAF"/>
    <w:rsid w:val="00656387"/>
    <w:rsid w:val="006609D5"/>
    <w:rsid w:val="00846547"/>
    <w:rsid w:val="00890B34"/>
    <w:rsid w:val="009E2441"/>
    <w:rsid w:val="00AA1D8D"/>
    <w:rsid w:val="00AE6A86"/>
    <w:rsid w:val="00B47730"/>
    <w:rsid w:val="00BD6EFC"/>
    <w:rsid w:val="00CB0664"/>
    <w:rsid w:val="00D35786"/>
    <w:rsid w:val="00D8415B"/>
    <w:rsid w:val="00DF6502"/>
    <w:rsid w:val="00E219ED"/>
    <w:rsid w:val="00EF3652"/>
    <w:rsid w:val="00F42ACF"/>
    <w:rsid w:val="00FA1B51"/>
    <w:rsid w:val="00FA61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316BC"/>
  <w14:defaultImageDpi w14:val="300"/>
  <w15:docId w15:val="{6E69E939-084C-554F-94BF-1FC5BAC6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C21"/>
    <w:rPr>
      <w:sz w:val="20"/>
      <w:szCs w:val="20"/>
    </w:rPr>
  </w:style>
  <w:style w:type="paragraph" w:styleId="Heading1">
    <w:name w:val="heading 1"/>
    <w:basedOn w:val="Normal"/>
    <w:next w:val="Normal"/>
    <w:link w:val="Heading1Char"/>
    <w:uiPriority w:val="9"/>
    <w:qFormat/>
    <w:rsid w:val="00350C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0C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0C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50C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50C2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50C2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50C2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50C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0C2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350C21"/>
    <w:pPr>
      <w:spacing w:before="0" w:after="0" w:line="240" w:lineRule="auto"/>
    </w:pPr>
  </w:style>
  <w:style w:type="character" w:customStyle="1" w:styleId="Heading1Char">
    <w:name w:val="Heading 1 Char"/>
    <w:basedOn w:val="DefaultParagraphFont"/>
    <w:link w:val="Heading1"/>
    <w:uiPriority w:val="9"/>
    <w:rsid w:val="00350C2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50C21"/>
    <w:rPr>
      <w:caps/>
      <w:spacing w:val="15"/>
      <w:shd w:val="clear" w:color="auto" w:fill="DBE5F1" w:themeFill="accent1" w:themeFillTint="33"/>
    </w:rPr>
  </w:style>
  <w:style w:type="character" w:customStyle="1" w:styleId="Heading3Char">
    <w:name w:val="Heading 3 Char"/>
    <w:basedOn w:val="DefaultParagraphFont"/>
    <w:link w:val="Heading3"/>
    <w:uiPriority w:val="9"/>
    <w:rsid w:val="00350C21"/>
    <w:rPr>
      <w:caps/>
      <w:color w:val="243F60" w:themeColor="accent1" w:themeShade="7F"/>
      <w:spacing w:val="15"/>
    </w:rPr>
  </w:style>
  <w:style w:type="paragraph" w:styleId="Title">
    <w:name w:val="Title"/>
    <w:basedOn w:val="Normal"/>
    <w:next w:val="Normal"/>
    <w:link w:val="TitleChar"/>
    <w:uiPriority w:val="10"/>
    <w:qFormat/>
    <w:rsid w:val="00350C2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50C21"/>
    <w:rPr>
      <w:caps/>
      <w:color w:val="4F81BD" w:themeColor="accent1"/>
      <w:spacing w:val="10"/>
      <w:kern w:val="28"/>
      <w:sz w:val="52"/>
      <w:szCs w:val="52"/>
    </w:rPr>
  </w:style>
  <w:style w:type="paragraph" w:styleId="Subtitle">
    <w:name w:val="Subtitle"/>
    <w:basedOn w:val="Normal"/>
    <w:next w:val="Normal"/>
    <w:link w:val="SubtitleChar"/>
    <w:uiPriority w:val="11"/>
    <w:qFormat/>
    <w:rsid w:val="00350C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0C21"/>
    <w:rPr>
      <w:caps/>
      <w:color w:val="595959" w:themeColor="text1" w:themeTint="A6"/>
      <w:spacing w:val="10"/>
      <w:sz w:val="24"/>
      <w:szCs w:val="24"/>
    </w:rPr>
  </w:style>
  <w:style w:type="paragraph" w:styleId="ListParagraph">
    <w:name w:val="List Paragraph"/>
    <w:basedOn w:val="Normal"/>
    <w:uiPriority w:val="34"/>
    <w:qFormat/>
    <w:rsid w:val="00350C21"/>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0"/>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50C21"/>
    <w:rPr>
      <w:i/>
      <w:iCs/>
    </w:rPr>
  </w:style>
  <w:style w:type="character" w:customStyle="1" w:styleId="QuoteChar">
    <w:name w:val="Quote Char"/>
    <w:basedOn w:val="DefaultParagraphFont"/>
    <w:link w:val="Quote"/>
    <w:uiPriority w:val="29"/>
    <w:rsid w:val="00350C21"/>
    <w:rPr>
      <w:i/>
      <w:iCs/>
      <w:sz w:val="20"/>
      <w:szCs w:val="20"/>
    </w:rPr>
  </w:style>
  <w:style w:type="character" w:customStyle="1" w:styleId="Heading4Char">
    <w:name w:val="Heading 4 Char"/>
    <w:basedOn w:val="DefaultParagraphFont"/>
    <w:link w:val="Heading4"/>
    <w:uiPriority w:val="9"/>
    <w:semiHidden/>
    <w:rsid w:val="00350C21"/>
    <w:rPr>
      <w:caps/>
      <w:color w:val="365F91" w:themeColor="accent1" w:themeShade="BF"/>
      <w:spacing w:val="10"/>
    </w:rPr>
  </w:style>
  <w:style w:type="character" w:customStyle="1" w:styleId="Heading5Char">
    <w:name w:val="Heading 5 Char"/>
    <w:basedOn w:val="DefaultParagraphFont"/>
    <w:link w:val="Heading5"/>
    <w:uiPriority w:val="9"/>
    <w:semiHidden/>
    <w:rsid w:val="00350C21"/>
    <w:rPr>
      <w:caps/>
      <w:color w:val="365F91" w:themeColor="accent1" w:themeShade="BF"/>
      <w:spacing w:val="10"/>
    </w:rPr>
  </w:style>
  <w:style w:type="character" w:customStyle="1" w:styleId="Heading6Char">
    <w:name w:val="Heading 6 Char"/>
    <w:basedOn w:val="DefaultParagraphFont"/>
    <w:link w:val="Heading6"/>
    <w:uiPriority w:val="9"/>
    <w:semiHidden/>
    <w:rsid w:val="00350C21"/>
    <w:rPr>
      <w:caps/>
      <w:color w:val="365F91" w:themeColor="accent1" w:themeShade="BF"/>
      <w:spacing w:val="10"/>
    </w:rPr>
  </w:style>
  <w:style w:type="character" w:customStyle="1" w:styleId="Heading7Char">
    <w:name w:val="Heading 7 Char"/>
    <w:basedOn w:val="DefaultParagraphFont"/>
    <w:link w:val="Heading7"/>
    <w:uiPriority w:val="9"/>
    <w:semiHidden/>
    <w:rsid w:val="00350C21"/>
    <w:rPr>
      <w:caps/>
      <w:color w:val="365F91" w:themeColor="accent1" w:themeShade="BF"/>
      <w:spacing w:val="10"/>
    </w:rPr>
  </w:style>
  <w:style w:type="character" w:customStyle="1" w:styleId="Heading8Char">
    <w:name w:val="Heading 8 Char"/>
    <w:basedOn w:val="DefaultParagraphFont"/>
    <w:link w:val="Heading8"/>
    <w:uiPriority w:val="9"/>
    <w:semiHidden/>
    <w:rsid w:val="00350C21"/>
    <w:rPr>
      <w:caps/>
      <w:spacing w:val="10"/>
      <w:sz w:val="18"/>
      <w:szCs w:val="18"/>
    </w:rPr>
  </w:style>
  <w:style w:type="character" w:customStyle="1" w:styleId="Heading9Char">
    <w:name w:val="Heading 9 Char"/>
    <w:basedOn w:val="DefaultParagraphFont"/>
    <w:link w:val="Heading9"/>
    <w:uiPriority w:val="9"/>
    <w:semiHidden/>
    <w:rsid w:val="00350C21"/>
    <w:rPr>
      <w:i/>
      <w:caps/>
      <w:spacing w:val="10"/>
      <w:sz w:val="18"/>
      <w:szCs w:val="18"/>
    </w:rPr>
  </w:style>
  <w:style w:type="paragraph" w:styleId="Caption">
    <w:name w:val="caption"/>
    <w:basedOn w:val="Normal"/>
    <w:next w:val="Normal"/>
    <w:uiPriority w:val="35"/>
    <w:semiHidden/>
    <w:unhideWhenUsed/>
    <w:qFormat/>
    <w:rsid w:val="00350C21"/>
    <w:rPr>
      <w:b/>
      <w:bCs/>
      <w:color w:val="365F91" w:themeColor="accent1" w:themeShade="BF"/>
      <w:sz w:val="16"/>
      <w:szCs w:val="16"/>
    </w:rPr>
  </w:style>
  <w:style w:type="character" w:styleId="Strong">
    <w:name w:val="Strong"/>
    <w:uiPriority w:val="22"/>
    <w:qFormat/>
    <w:rsid w:val="00350C21"/>
    <w:rPr>
      <w:b/>
      <w:bCs/>
    </w:rPr>
  </w:style>
  <w:style w:type="character" w:styleId="Emphasis">
    <w:name w:val="Emphasis"/>
    <w:uiPriority w:val="20"/>
    <w:qFormat/>
    <w:rsid w:val="00350C21"/>
    <w:rPr>
      <w:caps/>
      <w:color w:val="243F60" w:themeColor="accent1" w:themeShade="7F"/>
      <w:spacing w:val="5"/>
    </w:rPr>
  </w:style>
  <w:style w:type="paragraph" w:styleId="IntenseQuote">
    <w:name w:val="Intense Quote"/>
    <w:basedOn w:val="Normal"/>
    <w:next w:val="Normal"/>
    <w:link w:val="IntenseQuoteChar"/>
    <w:uiPriority w:val="30"/>
    <w:qFormat/>
    <w:rsid w:val="00350C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50C21"/>
    <w:rPr>
      <w:i/>
      <w:iCs/>
      <w:color w:val="4F81BD" w:themeColor="accent1"/>
      <w:sz w:val="20"/>
      <w:szCs w:val="20"/>
    </w:rPr>
  </w:style>
  <w:style w:type="character" w:styleId="SubtleEmphasis">
    <w:name w:val="Subtle Emphasis"/>
    <w:uiPriority w:val="19"/>
    <w:qFormat/>
    <w:rsid w:val="00350C21"/>
    <w:rPr>
      <w:i/>
      <w:iCs/>
      <w:color w:val="243F60" w:themeColor="accent1" w:themeShade="7F"/>
    </w:rPr>
  </w:style>
  <w:style w:type="character" w:styleId="IntenseEmphasis">
    <w:name w:val="Intense Emphasis"/>
    <w:uiPriority w:val="21"/>
    <w:qFormat/>
    <w:rsid w:val="00350C21"/>
    <w:rPr>
      <w:b/>
      <w:bCs/>
      <w:caps/>
      <w:color w:val="243F60" w:themeColor="accent1" w:themeShade="7F"/>
      <w:spacing w:val="10"/>
    </w:rPr>
  </w:style>
  <w:style w:type="character" w:styleId="SubtleReference">
    <w:name w:val="Subtle Reference"/>
    <w:uiPriority w:val="31"/>
    <w:qFormat/>
    <w:rsid w:val="00350C21"/>
    <w:rPr>
      <w:b/>
      <w:bCs/>
      <w:color w:val="4F81BD" w:themeColor="accent1"/>
    </w:rPr>
  </w:style>
  <w:style w:type="character" w:styleId="IntenseReference">
    <w:name w:val="Intense Reference"/>
    <w:uiPriority w:val="32"/>
    <w:qFormat/>
    <w:rsid w:val="00350C21"/>
    <w:rPr>
      <w:b/>
      <w:bCs/>
      <w:i/>
      <w:iCs/>
      <w:caps/>
      <w:color w:val="4F81BD" w:themeColor="accent1"/>
    </w:rPr>
  </w:style>
  <w:style w:type="character" w:styleId="BookTitle">
    <w:name w:val="Book Title"/>
    <w:uiPriority w:val="33"/>
    <w:qFormat/>
    <w:rsid w:val="00350C21"/>
    <w:rPr>
      <w:b/>
      <w:bCs/>
      <w:i/>
      <w:iCs/>
      <w:spacing w:val="9"/>
    </w:rPr>
  </w:style>
  <w:style w:type="paragraph" w:styleId="TOCHeading">
    <w:name w:val="TOC Heading"/>
    <w:basedOn w:val="Heading1"/>
    <w:next w:val="Normal"/>
    <w:uiPriority w:val="39"/>
    <w:semiHidden/>
    <w:unhideWhenUsed/>
    <w:qFormat/>
    <w:rsid w:val="00350C21"/>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350C21"/>
    <w:rPr>
      <w:sz w:val="20"/>
      <w:szCs w:val="20"/>
    </w:rPr>
  </w:style>
  <w:style w:type="paragraph" w:customStyle="1" w:styleId="PersonalName">
    <w:name w:val="Personal Name"/>
    <w:basedOn w:val="Title"/>
    <w:rsid w:val="00350C21"/>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76a87d-b170-4c68-825a-9231bb2648b0" xsi:nil="true"/>
    <lcf76f155ced4ddcb4097134ff3c332f xmlns="efd04caa-9c56-4e24-8b11-76a5bcf46bc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55B245B068D4FABFD169DF13F0FDF" ma:contentTypeVersion="13" ma:contentTypeDescription="Create a new document." ma:contentTypeScope="" ma:versionID="6581c8a940dc69b6c911f821c7a3883b">
  <xsd:schema xmlns:xsd="http://www.w3.org/2001/XMLSchema" xmlns:xs="http://www.w3.org/2001/XMLSchema" xmlns:p="http://schemas.microsoft.com/office/2006/metadata/properties" xmlns:ns2="efd04caa-9c56-4e24-8b11-76a5bcf46bca" xmlns:ns3="cb76a87d-b170-4c68-825a-9231bb2648b0" targetNamespace="http://schemas.microsoft.com/office/2006/metadata/properties" ma:root="true" ma:fieldsID="fcec68844a365d23060bcc2fc67f41a8" ns2:_="" ns3:_="">
    <xsd:import namespace="efd04caa-9c56-4e24-8b11-76a5bcf46bca"/>
    <xsd:import namespace="cb76a87d-b170-4c68-825a-9231bb264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04caa-9c56-4e24-8b11-76a5bcf46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41ec5d6-35e3-438e-bfbd-0a452cb7ad7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76a87d-b170-4c68-825a-9231bb2648b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1ed7e2e-d90d-4874-80c5-d260f0618b68}" ma:internalName="TaxCatchAll" ma:showField="CatchAllData" ma:web="cb76a87d-b170-4c68-825a-9231bb264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8E509-549E-44C0-90FD-11AF1E7C4C5F}">
  <ds:schemaRefs>
    <ds:schemaRef ds:uri="http://schemas.microsoft.com/office/2006/metadata/properties"/>
    <ds:schemaRef ds:uri="http://schemas.microsoft.com/office/infopath/2007/PartnerControls"/>
    <ds:schemaRef ds:uri="cb76a87d-b170-4c68-825a-9231bb2648b0"/>
    <ds:schemaRef ds:uri="efd04caa-9c56-4e24-8b11-76a5bcf46bca"/>
  </ds:schemaRefs>
</ds:datastoreItem>
</file>

<file path=customXml/itemProps2.xml><?xml version="1.0" encoding="utf-8"?>
<ds:datastoreItem xmlns:ds="http://schemas.openxmlformats.org/officeDocument/2006/customXml" ds:itemID="{10E05560-5B5F-4F86-A307-70DA6C72AA28}">
  <ds:schemaRefs>
    <ds:schemaRef ds:uri="http://schemas.microsoft.com/sharepoint/v3/contenttype/forms"/>
  </ds:schemaRefs>
</ds:datastoreItem>
</file>

<file path=customXml/itemProps3.xml><?xml version="1.0" encoding="utf-8"?>
<ds:datastoreItem xmlns:ds="http://schemas.openxmlformats.org/officeDocument/2006/customXml" ds:itemID="{59A05EDD-C1CC-4743-A37F-1415266AB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d04caa-9c56-4e24-8b11-76a5bcf46bca"/>
    <ds:schemaRef ds:uri="cb76a87d-b170-4c68-825a-9231bb2648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cp:lastModifiedBy>
  <cp:revision>13</cp:revision>
  <cp:lastPrinted>2025-03-21T02:45:00Z</cp:lastPrinted>
  <dcterms:created xsi:type="dcterms:W3CDTF">2025-03-21T03:18:00Z</dcterms:created>
  <dcterms:modified xsi:type="dcterms:W3CDTF">2025-03-21T03:29:00Z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0x0101000AE55B245B068D4FABFD169DF13F0FDF</vt:lpwstr>
  </property>
  <property fmtid="{D5CDD505-2E9C-101B-9397-08002B2CF9AE}" pid="3" name="MediaServiceImageTags">
    <vt:lpwstr/>
  </property>
</Properties>
</file>