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AC17AA">
      <w:pPr>
        <w:jc w:val="center"/>
        <w:rPr>
          <w:rFonts w:hint="eastAsia" w:ascii="宋体" w:hAnsi="宋体"/>
          <w:b/>
          <w:color w:val="auto"/>
          <w:sz w:val="36"/>
          <w:szCs w:val="36"/>
        </w:rPr>
      </w:pPr>
      <w:r>
        <w:rPr>
          <w:rFonts w:hint="eastAsia" w:ascii="宋体" w:hAnsi="宋体"/>
          <w:b/>
          <w:color w:val="auto"/>
          <w:sz w:val="36"/>
          <w:szCs w:val="36"/>
        </w:rPr>
        <w:t>蔬果购销合同</w:t>
      </w:r>
    </w:p>
    <w:p w14:paraId="71BE0E13">
      <w:pPr>
        <w:jc w:val="right"/>
        <w:rPr>
          <w:rFonts w:hint="default" w:ascii="宋体" w:hAnsi="宋体" w:eastAsia="宋体" w:cs="Times New Roman"/>
          <w:color w:val="auto"/>
          <w:sz w:val="24"/>
          <w:lang w:val="en-US" w:eastAsia="zh-CN"/>
        </w:rPr>
      </w:pPr>
      <w:r>
        <w:rPr>
          <w:rFonts w:hint="eastAsia" w:ascii="宋体" w:hAnsi="宋体"/>
          <w:color w:val="auto"/>
          <w:sz w:val="24"/>
        </w:rPr>
        <w:t xml:space="preserve">                                                     </w:t>
      </w:r>
      <w:r>
        <w:rPr>
          <w:rFonts w:hint="eastAsia" w:ascii="宋体" w:hAnsi="宋体"/>
          <w:color w:val="FF0000"/>
          <w:sz w:val="24"/>
        </w:rPr>
        <w:t xml:space="preserve"> </w:t>
      </w:r>
      <w:r>
        <w:rPr>
          <w:rFonts w:hint="eastAsia" w:ascii="宋体" w:hAnsi="宋体" w:eastAsia="宋体" w:cs="Times New Roman"/>
          <w:color w:val="auto"/>
          <w:sz w:val="24"/>
          <w:lang w:val="en-US" w:eastAsia="zh-CN"/>
        </w:rPr>
        <w:t xml:space="preserve"> 编号：</w:t>
      </w:r>
      <w:r>
        <w:rPr>
          <w:rFonts w:hint="eastAsia"/>
          <w:spacing w:val="12"/>
          <w:lang w:val="en-US" w:eastAsia="zh-CN"/>
        </w:rPr>
        <w:t>{{合同编号}}</w:t>
      </w:r>
    </w:p>
    <w:p w14:paraId="41F3F758">
      <w:pPr>
        <w:jc w:val="both"/>
        <w:rPr>
          <w:rFonts w:hint="default" w:ascii="宋体" w:hAnsi="宋体" w:eastAsia="宋体" w:cs="Times New Roman"/>
          <w:color w:val="auto"/>
          <w:sz w:val="24"/>
          <w:lang w:val="en-US" w:eastAsia="zh-CN"/>
        </w:rPr>
      </w:pPr>
    </w:p>
    <w:p w14:paraId="6C68B438">
      <w:pPr>
        <w:rPr>
          <w:rFonts w:hint="eastAsia" w:ascii="宋体" w:hAnsi="宋体"/>
          <w:color w:val="auto"/>
          <w:sz w:val="24"/>
        </w:rPr>
      </w:pPr>
    </w:p>
    <w:p w14:paraId="0A5656A6">
      <w:pPr>
        <w:rPr>
          <w:rFonts w:hint="eastAsia" w:ascii="宋体" w:hAnsi="宋体" w:eastAsia="宋体" w:cs="Times New Roman"/>
          <w:color w:val="auto"/>
          <w:sz w:val="24"/>
        </w:rPr>
      </w:pPr>
      <w:r>
        <w:rPr>
          <w:rFonts w:hint="eastAsia" w:ascii="宋体" w:hAnsi="宋体"/>
          <w:color w:val="auto"/>
          <w:sz w:val="24"/>
        </w:rPr>
        <w:t>供方：</w:t>
      </w:r>
      <w:r>
        <w:rPr>
          <w:rFonts w:hint="eastAsia"/>
          <w:spacing w:val="12"/>
          <w:lang w:val="en-US" w:eastAsia="zh-CN"/>
        </w:rPr>
        <w:t>{{甲方}}</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以下简称</w:t>
      </w:r>
      <w:r>
        <w:rPr>
          <w:rFonts w:hint="eastAsia" w:ascii="宋体" w:hAnsi="宋体" w:eastAsia="宋体" w:cs="Times New Roman"/>
          <w:color w:val="auto"/>
          <w:sz w:val="24"/>
          <w:lang w:eastAsia="zh-CN"/>
        </w:rPr>
        <w:t>甲</w:t>
      </w:r>
      <w:r>
        <w:rPr>
          <w:rFonts w:hint="eastAsia" w:ascii="宋体" w:hAnsi="宋体" w:eastAsia="宋体" w:cs="Times New Roman"/>
          <w:color w:val="auto"/>
          <w:sz w:val="24"/>
        </w:rPr>
        <w:t>方)</w:t>
      </w:r>
    </w:p>
    <w:p w14:paraId="71D1F329">
      <w:pPr>
        <w:rPr>
          <w:rFonts w:hint="eastAsia" w:ascii="宋体" w:hAnsi="宋体" w:eastAsia="宋体" w:cs="Times New Roman"/>
          <w:color w:val="auto"/>
          <w:sz w:val="24"/>
        </w:rPr>
      </w:pPr>
    </w:p>
    <w:p w14:paraId="711BE3C4">
      <w:pPr>
        <w:rPr>
          <w:rFonts w:hint="eastAsia" w:ascii="宋体" w:hAnsi="宋体" w:eastAsia="宋体" w:cs="Times New Roman"/>
          <w:color w:val="auto"/>
          <w:sz w:val="24"/>
        </w:rPr>
      </w:pPr>
      <w:r>
        <w:rPr>
          <w:rFonts w:hint="eastAsia" w:ascii="宋体" w:hAnsi="宋体" w:eastAsia="宋体" w:cs="Times New Roman"/>
          <w:color w:val="auto"/>
          <w:sz w:val="24"/>
        </w:rPr>
        <w:t>需方：</w:t>
      </w:r>
      <w:r>
        <w:rPr>
          <w:rFonts w:hint="eastAsia"/>
          <w:spacing w:val="12"/>
          <w:lang w:val="en-US" w:eastAsia="zh-CN"/>
        </w:rPr>
        <w:t>{{乙方}}</w:t>
      </w:r>
      <w:r>
        <w:rPr>
          <w:rFonts w:hint="eastAsia" w:ascii="宋体" w:hAnsi="宋体" w:eastAsia="宋体" w:cs="Times New Roman"/>
          <w:color w:val="auto"/>
          <w:sz w:val="24"/>
          <w:lang w:val="en-US" w:eastAsia="zh-CN"/>
        </w:rPr>
        <w:t xml:space="preserve"> </w:t>
      </w:r>
      <w:r>
        <w:rPr>
          <w:rFonts w:hint="eastAsia" w:ascii="宋体" w:hAnsi="宋体" w:eastAsia="宋体" w:cs="Times New Roman"/>
          <w:color w:val="auto"/>
          <w:sz w:val="24"/>
        </w:rPr>
        <w:t>(以下简称</w:t>
      </w:r>
      <w:r>
        <w:rPr>
          <w:rFonts w:hint="eastAsia" w:ascii="宋体" w:hAnsi="宋体" w:eastAsia="宋体" w:cs="Times New Roman"/>
          <w:color w:val="auto"/>
          <w:sz w:val="24"/>
          <w:lang w:eastAsia="zh-CN"/>
        </w:rPr>
        <w:t>乙</w:t>
      </w:r>
      <w:r>
        <w:rPr>
          <w:rFonts w:hint="eastAsia" w:ascii="宋体" w:hAnsi="宋体" w:eastAsia="宋体" w:cs="Times New Roman"/>
          <w:color w:val="auto"/>
          <w:sz w:val="24"/>
        </w:rPr>
        <w:t>方)</w:t>
      </w:r>
    </w:p>
    <w:p w14:paraId="30A9587E">
      <w:pPr>
        <w:rPr>
          <w:rFonts w:hint="eastAsia" w:ascii="宋体" w:hAnsi="宋体"/>
          <w:color w:val="auto"/>
          <w:sz w:val="24"/>
          <w:u w:val="single"/>
        </w:rPr>
      </w:pPr>
    </w:p>
    <w:p w14:paraId="7CB2DE29">
      <w:pPr>
        <w:rPr>
          <w:rFonts w:hint="eastAsia" w:ascii="宋体" w:hAnsi="宋体"/>
          <w:color w:val="auto"/>
          <w:sz w:val="24"/>
        </w:rPr>
      </w:pPr>
      <w:r>
        <w:rPr>
          <w:rFonts w:hint="eastAsia" w:ascii="宋体" w:hAnsi="宋体"/>
          <w:color w:val="FF0000"/>
          <w:sz w:val="24"/>
        </w:rPr>
        <w:t xml:space="preserve">  </w:t>
      </w:r>
      <w:r>
        <w:rPr>
          <w:rFonts w:hint="eastAsia" w:ascii="宋体" w:hAnsi="宋体"/>
          <w:color w:val="auto"/>
          <w:sz w:val="24"/>
        </w:rPr>
        <w:t xml:space="preserve"> 根据《中华人民共和国民法典》，甲乙双方在平等互利的原则上，就农产品供销事宜协商一致，达成如下合同条款，以供双方严格遵守：</w:t>
      </w:r>
    </w:p>
    <w:p w14:paraId="26D3D911">
      <w:pPr>
        <w:numPr>
          <w:ilvl w:val="0"/>
          <w:numId w:val="1"/>
        </w:numPr>
        <w:rPr>
          <w:rFonts w:hint="eastAsia" w:ascii="宋体" w:hAnsi="宋体"/>
          <w:color w:val="auto"/>
          <w:sz w:val="24"/>
        </w:rPr>
      </w:pPr>
      <w:r>
        <w:rPr>
          <w:rFonts w:hint="eastAsia" w:ascii="宋体" w:hAnsi="宋体"/>
          <w:color w:val="auto"/>
          <w:sz w:val="24"/>
        </w:rPr>
        <w:t>产品</w:t>
      </w:r>
      <w:r>
        <w:rPr>
          <w:rFonts w:hint="eastAsia" w:ascii="宋体" w:hAnsi="宋体"/>
          <w:color w:val="auto"/>
          <w:sz w:val="24"/>
          <w:lang w:eastAsia="zh-CN"/>
        </w:rPr>
        <w:t>名称、总金额</w:t>
      </w:r>
    </w:p>
    <w:tbl>
      <w:tblPr>
        <w:tblStyle w:val="5"/>
        <w:tblW w:w="94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0"/>
        <w:gridCol w:w="1861"/>
        <w:gridCol w:w="1860"/>
        <w:gridCol w:w="1861"/>
        <w:gridCol w:w="2038"/>
      </w:tblGrid>
      <w:tr w14:paraId="5E0D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1860" w:type="dxa"/>
            <w:noWrap w:val="0"/>
            <w:vAlign w:val="center"/>
          </w:tcPr>
          <w:p w14:paraId="310543FC">
            <w:pPr>
              <w:numPr>
                <w:ilvl w:val="0"/>
                <w:numId w:val="0"/>
              </w:numPr>
              <w:jc w:val="center"/>
              <w:rPr>
                <w:rFonts w:hint="eastAsia" w:ascii="宋体" w:hAnsi="宋体" w:eastAsia="宋体"/>
                <w:color w:val="auto"/>
                <w:sz w:val="24"/>
                <w:vertAlign w:val="baseline"/>
                <w:lang w:eastAsia="zh-CN"/>
              </w:rPr>
            </w:pPr>
            <w:r>
              <w:rPr>
                <w:rFonts w:hint="eastAsia" w:ascii="宋体" w:hAnsi="宋体"/>
                <w:color w:val="auto"/>
                <w:sz w:val="24"/>
                <w:vertAlign w:val="baseline"/>
                <w:lang w:eastAsia="zh-CN"/>
              </w:rPr>
              <w:t>序号</w:t>
            </w:r>
          </w:p>
        </w:tc>
        <w:tc>
          <w:tcPr>
            <w:tcW w:w="1861" w:type="dxa"/>
            <w:noWrap w:val="0"/>
            <w:vAlign w:val="center"/>
          </w:tcPr>
          <w:p w14:paraId="4FA62C3D">
            <w:pPr>
              <w:numPr>
                <w:ilvl w:val="0"/>
                <w:numId w:val="0"/>
              </w:numPr>
              <w:jc w:val="center"/>
              <w:rPr>
                <w:rFonts w:hint="eastAsia" w:ascii="宋体" w:hAnsi="宋体" w:eastAsia="宋体"/>
                <w:color w:val="auto"/>
                <w:sz w:val="24"/>
                <w:vertAlign w:val="baseline"/>
                <w:lang w:eastAsia="zh-CN"/>
              </w:rPr>
            </w:pPr>
            <w:r>
              <w:rPr>
                <w:rFonts w:hint="eastAsia" w:ascii="宋体" w:hAnsi="宋体"/>
                <w:color w:val="auto"/>
                <w:sz w:val="24"/>
                <w:vertAlign w:val="baseline"/>
                <w:lang w:eastAsia="zh-CN"/>
              </w:rPr>
              <w:t>品</w:t>
            </w:r>
            <w:r>
              <w:rPr>
                <w:rFonts w:hint="eastAsia" w:ascii="宋体" w:hAnsi="宋体"/>
                <w:color w:val="auto"/>
                <w:sz w:val="24"/>
                <w:vertAlign w:val="baseline"/>
                <w:lang w:val="en-US" w:eastAsia="zh-CN"/>
              </w:rPr>
              <w:t>种</w:t>
            </w:r>
          </w:p>
        </w:tc>
        <w:tc>
          <w:tcPr>
            <w:tcW w:w="1860" w:type="dxa"/>
            <w:noWrap w:val="0"/>
            <w:vAlign w:val="center"/>
          </w:tcPr>
          <w:p w14:paraId="64896654">
            <w:pPr>
              <w:numPr>
                <w:ilvl w:val="0"/>
                <w:numId w:val="0"/>
              </w:numPr>
              <w:jc w:val="center"/>
              <w:rPr>
                <w:rFonts w:hint="eastAsia" w:ascii="宋体" w:hAnsi="宋体" w:eastAsia="宋体"/>
                <w:color w:val="auto"/>
                <w:sz w:val="24"/>
                <w:vertAlign w:val="baseline"/>
                <w:lang w:val="en-US" w:eastAsia="zh-CN"/>
              </w:rPr>
            </w:pPr>
            <w:r>
              <w:rPr>
                <w:rFonts w:hint="eastAsia" w:ascii="宋体" w:hAnsi="宋体"/>
                <w:color w:val="auto"/>
                <w:sz w:val="24"/>
                <w:vertAlign w:val="baseline"/>
                <w:lang w:val="en-US" w:eastAsia="zh-CN"/>
              </w:rPr>
              <w:t>数</w:t>
            </w:r>
            <w:r>
              <w:rPr>
                <w:rFonts w:hint="eastAsia" w:ascii="宋体" w:hAnsi="宋体"/>
                <w:color w:val="auto"/>
                <w:sz w:val="24"/>
                <w:vertAlign w:val="baseline"/>
                <w:lang w:eastAsia="zh-CN"/>
              </w:rPr>
              <w:t>量（</w:t>
            </w:r>
            <w:r>
              <w:rPr>
                <w:rFonts w:hint="eastAsia" w:ascii="宋体" w:hAnsi="宋体"/>
                <w:color w:val="auto"/>
                <w:sz w:val="24"/>
                <w:vertAlign w:val="baseline"/>
                <w:lang w:val="en-US" w:eastAsia="zh-CN"/>
              </w:rPr>
              <w:t>KG)</w:t>
            </w:r>
          </w:p>
        </w:tc>
        <w:tc>
          <w:tcPr>
            <w:tcW w:w="1861" w:type="dxa"/>
            <w:noWrap w:val="0"/>
            <w:vAlign w:val="center"/>
          </w:tcPr>
          <w:p w14:paraId="08FC624A">
            <w:pPr>
              <w:numPr>
                <w:ilvl w:val="0"/>
                <w:numId w:val="0"/>
              </w:numPr>
              <w:jc w:val="center"/>
              <w:rPr>
                <w:rFonts w:hint="eastAsia" w:ascii="宋体" w:hAnsi="宋体" w:eastAsia="宋体"/>
                <w:color w:val="auto"/>
                <w:sz w:val="24"/>
                <w:vertAlign w:val="baseline"/>
                <w:lang w:val="en-US" w:eastAsia="zh-CN"/>
              </w:rPr>
            </w:pPr>
            <w:r>
              <w:rPr>
                <w:rFonts w:hint="eastAsia" w:ascii="宋体" w:hAnsi="宋体"/>
                <w:color w:val="auto"/>
                <w:sz w:val="24"/>
                <w:vertAlign w:val="baseline"/>
                <w:lang w:eastAsia="zh-CN"/>
              </w:rPr>
              <w:t>单价</w:t>
            </w:r>
            <w:r>
              <w:rPr>
                <w:rFonts w:hint="eastAsia" w:ascii="宋体" w:hAnsi="宋体"/>
                <w:color w:val="auto"/>
                <w:sz w:val="24"/>
                <w:vertAlign w:val="baseline"/>
                <w:lang w:val="en-US" w:eastAsia="zh-CN"/>
              </w:rPr>
              <w:t>(元）</w:t>
            </w:r>
          </w:p>
        </w:tc>
        <w:tc>
          <w:tcPr>
            <w:tcW w:w="2038" w:type="dxa"/>
            <w:noWrap w:val="0"/>
            <w:vAlign w:val="center"/>
          </w:tcPr>
          <w:p w14:paraId="482F2DD6">
            <w:pPr>
              <w:numPr>
                <w:ilvl w:val="0"/>
                <w:numId w:val="0"/>
              </w:numPr>
              <w:jc w:val="center"/>
              <w:rPr>
                <w:rFonts w:hint="eastAsia" w:ascii="宋体" w:hAnsi="宋体" w:eastAsia="宋体"/>
                <w:color w:val="auto"/>
                <w:sz w:val="24"/>
                <w:vertAlign w:val="baseline"/>
                <w:lang w:eastAsia="zh-CN"/>
              </w:rPr>
            </w:pPr>
            <w:r>
              <w:rPr>
                <w:rFonts w:hint="eastAsia" w:ascii="宋体" w:hAnsi="宋体"/>
                <w:color w:val="auto"/>
                <w:sz w:val="24"/>
                <w:vertAlign w:val="baseline"/>
                <w:lang w:eastAsia="zh-CN"/>
              </w:rPr>
              <w:t>金额（元）</w:t>
            </w:r>
          </w:p>
        </w:tc>
      </w:tr>
      <w:tr w14:paraId="59C0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860" w:type="dxa"/>
            <w:noWrap w:val="0"/>
            <w:vAlign w:val="center"/>
          </w:tcPr>
          <w:p w14:paraId="14BD0FCE">
            <w:pPr>
              <w:numPr>
                <w:ilvl w:val="0"/>
                <w:numId w:val="0"/>
              </w:numPr>
              <w:jc w:val="center"/>
              <w:rPr>
                <w:rFonts w:hint="eastAsia" w:ascii="宋体" w:hAnsi="宋体" w:eastAsia="宋体"/>
                <w:color w:val="auto"/>
                <w:sz w:val="24"/>
                <w:vertAlign w:val="baseline"/>
                <w:lang w:val="en-US" w:eastAsia="zh-CN"/>
              </w:rPr>
            </w:pPr>
            <w:r>
              <w:rPr>
                <w:rFonts w:hint="eastAsia" w:ascii="宋体" w:hAnsi="宋体"/>
                <w:color w:val="auto"/>
                <w:sz w:val="24"/>
                <w:vertAlign w:val="baseline"/>
                <w:lang w:val="en-US" w:eastAsia="zh-CN"/>
              </w:rPr>
              <w:t>1</w:t>
            </w:r>
          </w:p>
        </w:tc>
        <w:tc>
          <w:tcPr>
            <w:tcW w:w="1861" w:type="dxa"/>
            <w:noWrap w:val="0"/>
            <w:vAlign w:val="center"/>
          </w:tcPr>
          <w:p w14:paraId="4C2FB239">
            <w:pPr>
              <w:numPr>
                <w:ilvl w:val="0"/>
                <w:numId w:val="0"/>
              </w:numPr>
              <w:jc w:val="center"/>
              <w:rPr>
                <w:rFonts w:hint="eastAsia" w:ascii="宋体" w:hAnsi="宋体" w:eastAsia="宋体" w:cs="Times New Roman"/>
                <w:color w:val="auto"/>
                <w:sz w:val="24"/>
                <w:vertAlign w:val="baseline"/>
                <w:lang w:val="en-US" w:eastAsia="zh-CN"/>
              </w:rPr>
            </w:pPr>
          </w:p>
        </w:tc>
        <w:tc>
          <w:tcPr>
            <w:tcW w:w="1860" w:type="dxa"/>
            <w:noWrap w:val="0"/>
            <w:vAlign w:val="center"/>
          </w:tcPr>
          <w:p w14:paraId="5D7DDF6D">
            <w:pPr>
              <w:numPr>
                <w:ilvl w:val="0"/>
                <w:numId w:val="0"/>
              </w:numPr>
              <w:jc w:val="center"/>
              <w:rPr>
                <w:rFonts w:hint="default" w:ascii="宋体" w:hAnsi="宋体" w:eastAsia="宋体" w:cs="Times New Roman"/>
                <w:color w:val="auto"/>
                <w:sz w:val="24"/>
                <w:vertAlign w:val="baseline"/>
                <w:lang w:val="en-US" w:eastAsia="zh-CN"/>
              </w:rPr>
            </w:pPr>
          </w:p>
        </w:tc>
        <w:tc>
          <w:tcPr>
            <w:tcW w:w="1861" w:type="dxa"/>
            <w:noWrap w:val="0"/>
            <w:vAlign w:val="center"/>
          </w:tcPr>
          <w:p w14:paraId="06D51AC7">
            <w:pPr>
              <w:numPr>
                <w:ilvl w:val="0"/>
                <w:numId w:val="0"/>
              </w:numPr>
              <w:jc w:val="center"/>
              <w:rPr>
                <w:rFonts w:hint="default" w:ascii="宋体" w:hAnsi="宋体" w:eastAsia="宋体" w:cs="Times New Roman"/>
                <w:color w:val="auto"/>
                <w:sz w:val="24"/>
                <w:vertAlign w:val="baseline"/>
                <w:lang w:val="en-US" w:eastAsia="zh-CN"/>
              </w:rPr>
            </w:pPr>
          </w:p>
        </w:tc>
        <w:tc>
          <w:tcPr>
            <w:tcW w:w="2038" w:type="dxa"/>
            <w:noWrap w:val="0"/>
            <w:vAlign w:val="center"/>
          </w:tcPr>
          <w:p w14:paraId="2BE0C45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 xml:space="preserve">    </w:t>
            </w:r>
          </w:p>
        </w:tc>
      </w:tr>
      <w:tr w14:paraId="144C0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860" w:type="dxa"/>
            <w:noWrap w:val="0"/>
            <w:vAlign w:val="center"/>
          </w:tcPr>
          <w:p w14:paraId="10380070">
            <w:pPr>
              <w:numPr>
                <w:ilvl w:val="0"/>
                <w:numId w:val="0"/>
              </w:numPr>
              <w:jc w:val="center"/>
              <w:rPr>
                <w:rFonts w:hint="eastAsia" w:ascii="宋体" w:hAnsi="宋体"/>
                <w:color w:val="auto"/>
                <w:sz w:val="24"/>
                <w:vertAlign w:val="baseline"/>
                <w:lang w:val="en-US" w:eastAsia="zh-CN"/>
              </w:rPr>
            </w:pPr>
          </w:p>
        </w:tc>
        <w:tc>
          <w:tcPr>
            <w:tcW w:w="1861" w:type="dxa"/>
            <w:noWrap w:val="0"/>
            <w:vAlign w:val="center"/>
          </w:tcPr>
          <w:p w14:paraId="12F5290A">
            <w:pPr>
              <w:numPr>
                <w:ilvl w:val="0"/>
                <w:numId w:val="0"/>
              </w:numPr>
              <w:jc w:val="center"/>
              <w:rPr>
                <w:rFonts w:hint="eastAsia" w:ascii="宋体" w:hAnsi="宋体" w:eastAsia="宋体" w:cs="Times New Roman"/>
                <w:color w:val="auto"/>
                <w:sz w:val="24"/>
                <w:vertAlign w:val="baseline"/>
                <w:lang w:val="en-US" w:eastAsia="zh-CN"/>
              </w:rPr>
            </w:pPr>
          </w:p>
        </w:tc>
        <w:tc>
          <w:tcPr>
            <w:tcW w:w="1860" w:type="dxa"/>
            <w:noWrap w:val="0"/>
            <w:vAlign w:val="center"/>
          </w:tcPr>
          <w:p w14:paraId="2DD14DEA">
            <w:pPr>
              <w:numPr>
                <w:ilvl w:val="0"/>
                <w:numId w:val="0"/>
              </w:numPr>
              <w:jc w:val="center"/>
              <w:rPr>
                <w:rFonts w:hint="eastAsia" w:ascii="宋体" w:hAnsi="宋体" w:eastAsia="宋体" w:cs="Times New Roman"/>
                <w:color w:val="auto"/>
                <w:sz w:val="24"/>
                <w:vertAlign w:val="baseline"/>
                <w:lang w:val="en-US" w:eastAsia="zh-CN"/>
              </w:rPr>
            </w:pPr>
          </w:p>
        </w:tc>
        <w:tc>
          <w:tcPr>
            <w:tcW w:w="1861" w:type="dxa"/>
            <w:noWrap w:val="0"/>
            <w:vAlign w:val="center"/>
          </w:tcPr>
          <w:p w14:paraId="4BAA3DB3">
            <w:pPr>
              <w:numPr>
                <w:ilvl w:val="0"/>
                <w:numId w:val="0"/>
              </w:numPr>
              <w:jc w:val="center"/>
              <w:rPr>
                <w:rFonts w:hint="eastAsia" w:ascii="宋体" w:hAnsi="宋体" w:eastAsia="宋体" w:cs="Times New Roman"/>
                <w:color w:val="auto"/>
                <w:sz w:val="24"/>
                <w:vertAlign w:val="baseline"/>
                <w:lang w:val="en-US" w:eastAsia="zh-CN"/>
              </w:rPr>
            </w:pPr>
          </w:p>
        </w:tc>
        <w:tc>
          <w:tcPr>
            <w:tcW w:w="2038" w:type="dxa"/>
            <w:noWrap w:val="0"/>
            <w:vAlign w:val="center"/>
          </w:tcPr>
          <w:p w14:paraId="1363E28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p>
        </w:tc>
      </w:tr>
    </w:tbl>
    <w:p w14:paraId="2C0CFD61">
      <w:pPr>
        <w:numPr>
          <w:ilvl w:val="0"/>
          <w:numId w:val="1"/>
        </w:numPr>
        <w:spacing w:line="360" w:lineRule="auto"/>
        <w:rPr>
          <w:rFonts w:hint="eastAsia" w:ascii="宋体" w:hAnsi="宋体"/>
          <w:color w:val="auto"/>
          <w:sz w:val="24"/>
          <w:u w:val="single"/>
        </w:rPr>
      </w:pPr>
      <w:r>
        <w:rPr>
          <w:rFonts w:hint="eastAsia" w:ascii="宋体" w:hAnsi="宋体"/>
          <w:color w:val="auto"/>
          <w:sz w:val="24"/>
        </w:rPr>
        <w:t>甲方对质量负责的条件：</w:t>
      </w:r>
      <w:r>
        <w:rPr>
          <w:rFonts w:hint="eastAsia" w:ascii="宋体" w:hAnsi="宋体"/>
          <w:color w:val="auto"/>
          <w:sz w:val="24"/>
          <w:u w:val="single"/>
          <w:lang w:val="en-US" w:eastAsia="zh-CN"/>
        </w:rPr>
        <w:t>保证其货品为合法生产，</w:t>
      </w:r>
      <w:r>
        <w:rPr>
          <w:rFonts w:hint="eastAsia" w:ascii="宋体" w:hAnsi="宋体"/>
          <w:color w:val="auto"/>
          <w:sz w:val="24"/>
          <w:u w:val="single"/>
        </w:rPr>
        <w:t>农残检测、卫生质量达到国家</w:t>
      </w:r>
      <w:r>
        <w:rPr>
          <w:rFonts w:hint="eastAsia" w:ascii="宋体" w:hAnsi="宋体"/>
          <w:color w:val="auto"/>
          <w:sz w:val="24"/>
          <w:u w:val="single"/>
          <w:lang w:eastAsia="zh-CN"/>
        </w:rPr>
        <w:t>标准。</w:t>
      </w:r>
    </w:p>
    <w:p w14:paraId="5EC7254F">
      <w:pPr>
        <w:numPr>
          <w:ilvl w:val="0"/>
          <w:numId w:val="1"/>
        </w:numPr>
        <w:spacing w:line="360" w:lineRule="auto"/>
        <w:rPr>
          <w:rFonts w:hint="eastAsia" w:ascii="宋体" w:hAnsi="宋体"/>
          <w:color w:val="auto"/>
          <w:sz w:val="24"/>
        </w:rPr>
      </w:pPr>
      <w:r>
        <w:rPr>
          <w:rFonts w:hint="eastAsia" w:ascii="宋体" w:hAnsi="宋体"/>
          <w:color w:val="auto"/>
          <w:sz w:val="24"/>
          <w:lang w:val="en-US" w:eastAsia="zh-CN"/>
        </w:rPr>
        <w:t>货款结算：</w:t>
      </w:r>
    </w:p>
    <w:p w14:paraId="722B9445">
      <w:pPr>
        <w:numPr>
          <w:ilvl w:val="0"/>
          <w:numId w:val="2"/>
        </w:numPr>
        <w:spacing w:line="360" w:lineRule="auto"/>
        <w:ind w:firstLine="480" w:firstLineChars="200"/>
        <w:rPr>
          <w:rFonts w:hint="eastAsia" w:ascii="宋体" w:hAnsi="宋体" w:eastAsia="宋体" w:cs="Times New Roman"/>
          <w:color w:val="auto"/>
          <w:sz w:val="24"/>
          <w:u w:val="single"/>
        </w:rPr>
      </w:pPr>
      <w:r>
        <w:rPr>
          <w:rFonts w:hint="eastAsia" w:ascii="宋体" w:hAnsi="宋体" w:eastAsia="宋体" w:cs="Times New Roman"/>
          <w:color w:val="auto"/>
          <w:sz w:val="24"/>
          <w:u w:val="single"/>
          <w:lang w:val="en-US" w:eastAsia="zh-CN"/>
        </w:rPr>
        <w:t>双</w:t>
      </w:r>
      <w:r>
        <w:rPr>
          <w:rFonts w:hint="eastAsia" w:ascii="宋体" w:hAnsi="宋体" w:eastAsia="宋体" w:cs="Times New Roman"/>
          <w:color w:val="auto"/>
          <w:sz w:val="24"/>
          <w:u w:val="single"/>
        </w:rPr>
        <w:t>方采取现金转账或银行相关票据结算货款（转账</w:t>
      </w:r>
      <w:r>
        <w:rPr>
          <w:rFonts w:hint="eastAsia" w:ascii="宋体" w:hAnsi="宋体" w:eastAsia="宋体" w:cs="Times New Roman"/>
          <w:color w:val="auto"/>
          <w:sz w:val="24"/>
          <w:u w:val="single"/>
          <w:lang w:eastAsia="zh-CN"/>
        </w:rPr>
        <w:t>、</w:t>
      </w:r>
      <w:r>
        <w:rPr>
          <w:rFonts w:hint="eastAsia" w:ascii="宋体" w:hAnsi="宋体" w:eastAsia="宋体" w:cs="Times New Roman"/>
          <w:color w:val="auto"/>
          <w:sz w:val="24"/>
          <w:u w:val="single"/>
        </w:rPr>
        <w:t>支票</w:t>
      </w:r>
      <w:r>
        <w:rPr>
          <w:rFonts w:hint="eastAsia" w:ascii="宋体" w:hAnsi="宋体" w:eastAsia="宋体" w:cs="Times New Roman"/>
          <w:color w:val="auto"/>
          <w:sz w:val="24"/>
          <w:u w:val="single"/>
          <w:lang w:eastAsia="zh-CN"/>
        </w:rPr>
        <w:t>、</w:t>
      </w:r>
      <w:r>
        <w:rPr>
          <w:rFonts w:hint="eastAsia" w:ascii="宋体" w:hAnsi="宋体" w:eastAsia="宋体" w:cs="Times New Roman"/>
          <w:color w:val="auto"/>
          <w:sz w:val="24"/>
          <w:u w:val="single"/>
        </w:rPr>
        <w:t>现金</w:t>
      </w:r>
      <w:r>
        <w:rPr>
          <w:rFonts w:hint="eastAsia" w:ascii="宋体" w:hAnsi="宋体" w:eastAsia="宋体" w:cs="Times New Roman"/>
          <w:color w:val="auto"/>
          <w:sz w:val="24"/>
          <w:u w:val="single"/>
          <w:lang w:eastAsia="zh-CN"/>
        </w:rPr>
        <w:t>、银行承兑汇票</w:t>
      </w:r>
      <w:r>
        <w:rPr>
          <w:rFonts w:hint="eastAsia" w:ascii="宋体" w:hAnsi="宋体" w:cs="Times New Roman"/>
          <w:color w:val="auto"/>
          <w:sz w:val="24"/>
          <w:u w:val="single"/>
          <w:lang w:eastAsia="zh-CN"/>
        </w:rPr>
        <w:t>，</w:t>
      </w:r>
      <w:r>
        <w:rPr>
          <w:rFonts w:hint="eastAsia" w:ascii="宋体" w:hAnsi="宋体" w:eastAsia="宋体" w:cs="Times New Roman"/>
          <w:color w:val="auto"/>
          <w:sz w:val="24"/>
          <w:u w:val="single"/>
        </w:rPr>
        <w:t>选择其中一项</w:t>
      </w:r>
      <w:r>
        <w:rPr>
          <w:rFonts w:hint="eastAsia" w:ascii="宋体" w:hAnsi="宋体" w:cs="Times New Roman"/>
          <w:color w:val="auto"/>
          <w:sz w:val="24"/>
          <w:u w:val="single"/>
          <w:lang w:eastAsia="zh-CN"/>
        </w:rPr>
        <w:t>），</w:t>
      </w:r>
      <w:r>
        <w:rPr>
          <w:rFonts w:hint="eastAsia" w:ascii="宋体" w:hAnsi="宋体" w:eastAsia="宋体" w:cs="Times New Roman"/>
          <w:color w:val="auto"/>
          <w:sz w:val="24"/>
          <w:u w:val="single"/>
        </w:rPr>
        <w:t>付款日期按</w:t>
      </w:r>
      <w:r>
        <w:rPr>
          <w:rFonts w:hint="eastAsia" w:ascii="宋体" w:hAnsi="宋体" w:eastAsia="宋体" w:cs="Times New Roman"/>
          <w:color w:val="auto"/>
          <w:sz w:val="24"/>
          <w:u w:val="single"/>
          <w:lang w:eastAsia="zh-CN"/>
        </w:rPr>
        <w:t>双方约定，定期结算</w:t>
      </w:r>
      <w:r>
        <w:rPr>
          <w:rFonts w:hint="eastAsia" w:ascii="宋体" w:hAnsi="宋体" w:eastAsia="宋体" w:cs="Times New Roman"/>
          <w:color w:val="auto"/>
          <w:sz w:val="24"/>
          <w:u w:val="single"/>
        </w:rPr>
        <w:t>。</w:t>
      </w:r>
    </w:p>
    <w:p w14:paraId="3F1CD4F8">
      <w:pPr>
        <w:numPr>
          <w:ilvl w:val="0"/>
          <w:numId w:val="2"/>
        </w:numPr>
        <w:spacing w:line="360" w:lineRule="auto"/>
        <w:ind w:firstLine="480" w:firstLineChars="200"/>
        <w:rPr>
          <w:rFonts w:hint="eastAsia" w:ascii="宋体" w:hAnsi="宋体"/>
          <w:color w:val="auto"/>
          <w:sz w:val="24"/>
        </w:rPr>
      </w:pPr>
      <w:r>
        <w:rPr>
          <w:rFonts w:hint="default" w:ascii="宋体" w:hAnsi="宋体" w:eastAsia="宋体" w:cs="Times New Roman"/>
          <w:color w:val="auto"/>
          <w:sz w:val="24"/>
          <w:u w:val="single"/>
          <w:lang w:val="en-US" w:eastAsia="zh-CN"/>
        </w:rPr>
        <w:t>本</w:t>
      </w:r>
      <w:r>
        <w:rPr>
          <w:rFonts w:hint="eastAsia" w:ascii="宋体" w:hAnsi="宋体" w:eastAsia="宋体" w:cs="Times New Roman"/>
          <w:color w:val="auto"/>
          <w:sz w:val="24"/>
          <w:u w:val="single"/>
          <w:lang w:val="en-US" w:eastAsia="zh-CN"/>
        </w:rPr>
        <w:t>合同金额</w:t>
      </w:r>
      <w:r>
        <w:rPr>
          <w:rFonts w:hint="default" w:ascii="宋体" w:hAnsi="宋体" w:eastAsia="宋体" w:cs="Times New Roman"/>
          <w:color w:val="auto"/>
          <w:sz w:val="24"/>
          <w:u w:val="single"/>
          <w:lang w:val="en-US" w:eastAsia="zh-CN"/>
        </w:rPr>
        <w:t>为暂定价格，实际结算价格与数量以双方确认的单据为准，可根据实际销售业务进行调整。</w:t>
      </w:r>
    </w:p>
    <w:p w14:paraId="7F63D673">
      <w:pPr>
        <w:numPr>
          <w:ilvl w:val="0"/>
          <w:numId w:val="1"/>
        </w:numPr>
        <w:spacing w:line="360" w:lineRule="auto"/>
        <w:rPr>
          <w:rFonts w:hint="eastAsia" w:ascii="宋体" w:hAnsi="宋体"/>
          <w:color w:val="auto"/>
          <w:sz w:val="24"/>
        </w:rPr>
      </w:pPr>
      <w:r>
        <w:rPr>
          <w:rFonts w:hint="eastAsia" w:ascii="宋体" w:hAnsi="宋体"/>
          <w:color w:val="auto"/>
          <w:sz w:val="24"/>
          <w:lang w:eastAsia="zh-CN"/>
        </w:rPr>
        <w:t>交货方式：</w:t>
      </w:r>
      <w:r>
        <w:rPr>
          <w:rFonts w:hint="eastAsia" w:ascii="宋体" w:hAnsi="宋体"/>
          <w:color w:val="auto"/>
          <w:sz w:val="24"/>
          <w:u w:val="single"/>
          <w:lang w:eastAsia="zh-CN"/>
        </w:rPr>
        <w:t>甲方负责按乙方要求送货到乙方指定的交货地点且交付乙方指定的相关人员。</w:t>
      </w:r>
    </w:p>
    <w:p w14:paraId="64F684D2">
      <w:pPr>
        <w:numPr>
          <w:ilvl w:val="0"/>
          <w:numId w:val="1"/>
        </w:numPr>
        <w:spacing w:line="360" w:lineRule="auto"/>
        <w:rPr>
          <w:rFonts w:hint="eastAsia" w:ascii="宋体" w:hAnsi="宋体"/>
          <w:color w:val="auto"/>
          <w:sz w:val="24"/>
        </w:rPr>
      </w:pPr>
      <w:r>
        <w:rPr>
          <w:rFonts w:hint="eastAsia" w:ascii="宋体" w:hAnsi="宋体"/>
          <w:color w:val="auto"/>
          <w:sz w:val="24"/>
        </w:rPr>
        <w:t>结算方式：</w:t>
      </w:r>
      <w:r>
        <w:rPr>
          <w:rFonts w:hint="eastAsia" w:ascii="宋体" w:hAnsi="宋体"/>
          <w:color w:val="auto"/>
          <w:sz w:val="24"/>
          <w:u w:val="single"/>
        </w:rPr>
        <w:t>银行转账、</w:t>
      </w:r>
      <w:r>
        <w:rPr>
          <w:rFonts w:hint="eastAsia" w:ascii="宋体" w:hAnsi="宋体"/>
          <w:color w:val="auto"/>
          <w:sz w:val="24"/>
          <w:u w:val="single"/>
          <w:lang w:eastAsia="zh-CN"/>
        </w:rPr>
        <w:t>银行承兑汇票</w:t>
      </w:r>
      <w:r>
        <w:rPr>
          <w:rFonts w:hint="eastAsia" w:ascii="宋体" w:hAnsi="宋体"/>
          <w:color w:val="auto"/>
          <w:sz w:val="24"/>
          <w:u w:val="single"/>
        </w:rPr>
        <w:t>、现金。</w:t>
      </w:r>
    </w:p>
    <w:p w14:paraId="12A13672">
      <w:pPr>
        <w:numPr>
          <w:ilvl w:val="0"/>
          <w:numId w:val="1"/>
        </w:numPr>
        <w:spacing w:line="360" w:lineRule="auto"/>
        <w:rPr>
          <w:rFonts w:hint="eastAsia" w:ascii="宋体" w:hAnsi="宋体"/>
          <w:color w:val="auto"/>
          <w:sz w:val="24"/>
        </w:rPr>
      </w:pPr>
      <w:r>
        <w:rPr>
          <w:rFonts w:hint="eastAsia" w:ascii="宋体" w:hAnsi="宋体"/>
          <w:color w:val="auto"/>
          <w:sz w:val="24"/>
        </w:rPr>
        <w:t>付款时间：</w:t>
      </w:r>
      <w:r>
        <w:rPr>
          <w:rFonts w:hint="eastAsia" w:ascii="宋体" w:hAnsi="宋体"/>
          <w:color w:val="auto"/>
          <w:sz w:val="24"/>
          <w:u w:val="single"/>
          <w:lang w:val="en-US" w:eastAsia="zh-CN"/>
        </w:rPr>
        <w:t>180</w:t>
      </w:r>
      <w:r>
        <w:rPr>
          <w:rFonts w:hint="eastAsia" w:ascii="宋体" w:hAnsi="宋体"/>
          <w:color w:val="auto"/>
          <w:sz w:val="24"/>
          <w:u w:val="single"/>
        </w:rPr>
        <w:t>天内付清，若有特殊情况，双方可协商解决。</w:t>
      </w:r>
    </w:p>
    <w:p w14:paraId="74BEBFD5">
      <w:pPr>
        <w:numPr>
          <w:ilvl w:val="0"/>
          <w:numId w:val="1"/>
        </w:numPr>
        <w:spacing w:line="360" w:lineRule="auto"/>
        <w:rPr>
          <w:rFonts w:hint="eastAsia" w:ascii="宋体" w:hAnsi="宋体"/>
          <w:color w:val="auto"/>
          <w:sz w:val="24"/>
        </w:rPr>
      </w:pPr>
      <w:r>
        <w:rPr>
          <w:rFonts w:hint="eastAsia" w:ascii="宋体" w:hAnsi="宋体"/>
          <w:color w:val="auto"/>
          <w:sz w:val="24"/>
        </w:rPr>
        <w:t>合同</w:t>
      </w:r>
      <w:r>
        <w:rPr>
          <w:rFonts w:hint="eastAsia" w:ascii="宋体" w:hAnsi="宋体"/>
          <w:color w:val="auto"/>
          <w:sz w:val="24"/>
          <w:lang w:eastAsia="zh-CN"/>
        </w:rPr>
        <w:t>期限</w:t>
      </w:r>
      <w:r>
        <w:rPr>
          <w:rFonts w:hint="eastAsia" w:ascii="宋体" w:hAnsi="宋体"/>
          <w:color w:val="auto"/>
          <w:sz w:val="24"/>
        </w:rPr>
        <w:t>：</w:t>
      </w:r>
      <w:r>
        <w:rPr>
          <w:rFonts w:hint="eastAsia" w:ascii="宋体" w:hAnsi="宋体"/>
          <w:color w:val="auto"/>
          <w:sz w:val="24"/>
          <w:u w:val="single"/>
        </w:rPr>
        <w:t>{{开始日期}}始至{{结束日期}}止</w:t>
      </w:r>
      <w:r>
        <w:rPr>
          <w:rFonts w:hint="eastAsia" w:ascii="宋体" w:hAnsi="宋体"/>
          <w:color w:val="auto"/>
          <w:sz w:val="24"/>
        </w:rPr>
        <w:t>。</w:t>
      </w:r>
    </w:p>
    <w:p w14:paraId="6D5CF2A1">
      <w:pPr>
        <w:numPr>
          <w:ilvl w:val="0"/>
          <w:numId w:val="1"/>
        </w:numPr>
        <w:spacing w:line="360" w:lineRule="auto"/>
        <w:rPr>
          <w:rFonts w:hint="eastAsia" w:ascii="宋体" w:hAnsi="宋体"/>
          <w:color w:val="auto"/>
          <w:sz w:val="24"/>
          <w:lang w:val="en-US" w:eastAsia="zh-CN"/>
        </w:rPr>
      </w:pPr>
      <w:r>
        <w:rPr>
          <w:rFonts w:hint="eastAsia" w:ascii="宋体" w:hAnsi="宋体"/>
          <w:color w:val="auto"/>
          <w:sz w:val="24"/>
          <w:lang w:eastAsia="zh-CN"/>
        </w:rPr>
        <w:t>因其他</w:t>
      </w:r>
      <w:r>
        <w:rPr>
          <w:rFonts w:hint="eastAsia" w:ascii="宋体" w:hAnsi="宋体"/>
          <w:color w:val="auto"/>
          <w:sz w:val="24"/>
        </w:rPr>
        <w:t>非人为因素造成的特殊情况，双方根据实际情况协商解决，协商不一致时可</w:t>
      </w:r>
      <w:r>
        <w:rPr>
          <w:rFonts w:hint="eastAsia" w:ascii="宋体" w:hAnsi="宋体"/>
          <w:color w:val="auto"/>
          <w:sz w:val="24"/>
          <w:lang w:eastAsia="zh-CN"/>
        </w:rPr>
        <w:t>向甲</w:t>
      </w:r>
      <w:r>
        <w:rPr>
          <w:rFonts w:hint="eastAsia" w:ascii="宋体" w:hAnsi="宋体"/>
          <w:color w:val="auto"/>
          <w:sz w:val="24"/>
        </w:rPr>
        <w:t>方</w:t>
      </w:r>
      <w:r>
        <w:rPr>
          <w:rFonts w:hint="eastAsia" w:ascii="宋体" w:hAnsi="宋体"/>
          <w:color w:val="auto"/>
          <w:sz w:val="24"/>
          <w:lang w:eastAsia="zh-CN"/>
        </w:rPr>
        <w:t>所在地人民法院</w:t>
      </w:r>
      <w:r>
        <w:rPr>
          <w:rFonts w:hint="eastAsia" w:ascii="宋体" w:hAnsi="宋体"/>
          <w:color w:val="auto"/>
          <w:sz w:val="24"/>
        </w:rPr>
        <w:t>提起诉讼。</w:t>
      </w:r>
    </w:p>
    <w:p w14:paraId="3DB9A5D3">
      <w:pPr>
        <w:numPr>
          <w:ilvl w:val="0"/>
          <w:numId w:val="1"/>
        </w:numPr>
        <w:spacing w:line="360" w:lineRule="auto"/>
        <w:rPr>
          <w:rFonts w:hint="eastAsia" w:ascii="宋体" w:hAnsi="宋体"/>
          <w:color w:val="auto"/>
          <w:sz w:val="24"/>
          <w:lang w:val="en-US" w:eastAsia="zh-CN"/>
        </w:rPr>
      </w:pPr>
      <w:r>
        <w:rPr>
          <w:rFonts w:hint="eastAsia" w:ascii="宋体" w:hAnsi="宋体"/>
          <w:color w:val="auto"/>
          <w:sz w:val="24"/>
        </w:rPr>
        <w:t>本合同一式</w:t>
      </w:r>
      <w:r>
        <w:rPr>
          <w:rFonts w:hint="eastAsia" w:ascii="宋体" w:hAnsi="宋体"/>
          <w:color w:val="auto"/>
          <w:sz w:val="24"/>
          <w:lang w:val="en-US" w:eastAsia="zh-CN"/>
        </w:rPr>
        <w:t>叁</w:t>
      </w:r>
      <w:r>
        <w:rPr>
          <w:rFonts w:hint="eastAsia" w:ascii="宋体" w:hAnsi="宋体"/>
          <w:color w:val="auto"/>
          <w:sz w:val="24"/>
        </w:rPr>
        <w:t>份，</w:t>
      </w:r>
      <w:r>
        <w:rPr>
          <w:rFonts w:hint="eastAsia" w:ascii="宋体" w:hAnsi="宋体"/>
          <w:color w:val="auto"/>
          <w:sz w:val="24"/>
          <w:lang w:val="en-US" w:eastAsia="zh-CN"/>
        </w:rPr>
        <w:t>甲</w:t>
      </w:r>
      <w:r>
        <w:rPr>
          <w:rFonts w:hint="eastAsia" w:ascii="宋体" w:hAnsi="宋体"/>
          <w:color w:val="auto"/>
          <w:sz w:val="24"/>
        </w:rPr>
        <w:t>方执</w:t>
      </w:r>
      <w:r>
        <w:rPr>
          <w:rFonts w:hint="eastAsia" w:ascii="宋体" w:hAnsi="宋体"/>
          <w:color w:val="auto"/>
          <w:sz w:val="24"/>
          <w:lang w:val="en-US" w:eastAsia="zh-CN"/>
        </w:rPr>
        <w:t>贰</w:t>
      </w:r>
      <w:r>
        <w:rPr>
          <w:rFonts w:hint="eastAsia" w:ascii="宋体" w:hAnsi="宋体"/>
          <w:color w:val="auto"/>
          <w:sz w:val="24"/>
        </w:rPr>
        <w:t>份</w:t>
      </w:r>
      <w:r>
        <w:rPr>
          <w:rFonts w:hint="eastAsia" w:ascii="宋体" w:hAnsi="宋体"/>
          <w:color w:val="auto"/>
          <w:sz w:val="24"/>
          <w:lang w:eastAsia="zh-CN"/>
        </w:rPr>
        <w:t>，</w:t>
      </w:r>
      <w:r>
        <w:rPr>
          <w:rFonts w:hint="eastAsia" w:ascii="宋体" w:hAnsi="宋体"/>
          <w:color w:val="auto"/>
          <w:sz w:val="24"/>
          <w:lang w:val="en-US" w:eastAsia="zh-CN"/>
        </w:rPr>
        <w:t>乙方执壹份</w:t>
      </w:r>
      <w:r>
        <w:rPr>
          <w:rFonts w:hint="eastAsia" w:ascii="宋体" w:hAnsi="宋体"/>
          <w:color w:val="auto"/>
          <w:sz w:val="24"/>
          <w:lang w:eastAsia="zh-CN"/>
        </w:rPr>
        <w:t>。</w:t>
      </w:r>
    </w:p>
    <w:p w14:paraId="7842B639">
      <w:pPr>
        <w:rPr>
          <w:rFonts w:hint="eastAsia" w:ascii="宋体" w:hAnsi="宋体"/>
          <w:color w:val="auto"/>
          <w:sz w:val="24"/>
        </w:rPr>
      </w:pPr>
    </w:p>
    <w:p w14:paraId="3F24C225">
      <w:pPr>
        <w:ind w:firstLine="240" w:firstLineChars="100"/>
        <w:rPr>
          <w:rFonts w:hint="eastAsia" w:ascii="宋体" w:hAnsi="宋体"/>
          <w:color w:val="auto"/>
          <w:sz w:val="24"/>
        </w:rPr>
      </w:pPr>
    </w:p>
    <w:p w14:paraId="729DEAD6">
      <w:pPr>
        <w:ind w:firstLine="240" w:firstLineChars="100"/>
        <w:rPr>
          <w:rFonts w:hint="eastAsia" w:ascii="宋体" w:hAnsi="宋体"/>
          <w:color w:val="auto"/>
          <w:sz w:val="24"/>
        </w:rPr>
      </w:pPr>
    </w:p>
    <w:p w14:paraId="61FD1120">
      <w:pPr>
        <w:ind w:firstLine="240" w:firstLineChars="100"/>
        <w:rPr>
          <w:rFonts w:hint="eastAsia" w:ascii="宋体" w:hAnsi="宋体"/>
          <w:color w:val="auto"/>
          <w:sz w:val="24"/>
        </w:rPr>
      </w:pPr>
      <w:r>
        <w:rPr>
          <w:rFonts w:hint="eastAsia" w:ascii="宋体" w:hAnsi="宋体"/>
          <w:color w:val="auto"/>
          <w:sz w:val="24"/>
        </w:rPr>
        <w:t>甲方：</w:t>
      </w:r>
      <w:r>
        <w:rPr>
          <w:rFonts w:hint="eastAsia" w:ascii="宋体" w:hAnsi="宋体"/>
          <w:color w:val="auto"/>
          <w:sz w:val="24"/>
          <w:lang w:val="en-US" w:eastAsia="zh-CN"/>
        </w:rPr>
        <w:t xml:space="preserve">                                  </w:t>
      </w:r>
      <w:r>
        <w:rPr>
          <w:rFonts w:hint="eastAsia" w:ascii="宋体" w:hAnsi="宋体"/>
          <w:color w:val="auto"/>
          <w:sz w:val="24"/>
        </w:rPr>
        <w:t xml:space="preserve">乙方：   </w:t>
      </w:r>
    </w:p>
    <w:p w14:paraId="201CAE61">
      <w:pPr>
        <w:rPr>
          <w:rFonts w:hint="eastAsia" w:ascii="宋体" w:hAnsi="宋体"/>
          <w:color w:val="auto"/>
          <w:sz w:val="24"/>
        </w:rPr>
      </w:pPr>
      <w:r>
        <w:rPr>
          <w:rFonts w:hint="eastAsia" w:ascii="宋体" w:hAnsi="宋体"/>
          <w:color w:val="auto"/>
          <w:sz w:val="24"/>
        </w:rPr>
        <w:t xml:space="preserve">           </w:t>
      </w:r>
    </w:p>
    <w:p w14:paraId="3F5E16EF">
      <w:pPr>
        <w:ind w:firstLine="240" w:firstLineChars="100"/>
        <w:rPr>
          <w:rFonts w:hint="eastAsia" w:ascii="宋体" w:hAnsi="宋体"/>
          <w:color w:val="auto"/>
          <w:sz w:val="24"/>
          <w:u w:val="single"/>
        </w:rPr>
      </w:pPr>
      <w:r>
        <w:rPr>
          <w:rFonts w:hint="eastAsia" w:ascii="宋体" w:hAnsi="宋体" w:eastAsia="宋体" w:cs="Times New Roman"/>
          <w:color w:val="auto"/>
          <w:sz w:val="24"/>
        </w:rPr>
        <w:t>日期：{{签署日期}}                 日期：{{签署日期}}</w:t>
      </w:r>
    </w:p>
    <w:sectPr>
      <w:pgSz w:w="11906" w:h="16838"/>
      <w:pgMar w:top="1213" w:right="1466" w:bottom="1213"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AC0429"/>
    <w:multiLevelType w:val="multilevel"/>
    <w:tmpl w:val="21AC0429"/>
    <w:lvl w:ilvl="0" w:tentative="0">
      <w:start w:val="1"/>
      <w:numFmt w:val="japaneseCounting"/>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32269CFF"/>
    <w:multiLevelType w:val="singleLevel"/>
    <w:tmpl w:val="32269CFF"/>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I2ZDc0MDUxZjYyZGQ5NGVhN2NlYjRkNWIwMDczOTcifQ=="/>
  </w:docVars>
  <w:rsids>
    <w:rsidRoot w:val="00172A27"/>
    <w:rsid w:val="0000338F"/>
    <w:rsid w:val="00030E73"/>
    <w:rsid w:val="0008205F"/>
    <w:rsid w:val="000825B6"/>
    <w:rsid w:val="000909E9"/>
    <w:rsid w:val="00146D56"/>
    <w:rsid w:val="002069EE"/>
    <w:rsid w:val="0025572E"/>
    <w:rsid w:val="002C3E29"/>
    <w:rsid w:val="002D1F4B"/>
    <w:rsid w:val="002D3C33"/>
    <w:rsid w:val="00351BF4"/>
    <w:rsid w:val="0035527F"/>
    <w:rsid w:val="0036297C"/>
    <w:rsid w:val="003A2026"/>
    <w:rsid w:val="003A426B"/>
    <w:rsid w:val="003B16CA"/>
    <w:rsid w:val="003E7467"/>
    <w:rsid w:val="00406B41"/>
    <w:rsid w:val="004123E9"/>
    <w:rsid w:val="00433D8B"/>
    <w:rsid w:val="00486CB7"/>
    <w:rsid w:val="00521E7A"/>
    <w:rsid w:val="00564E33"/>
    <w:rsid w:val="00570460"/>
    <w:rsid w:val="0059725F"/>
    <w:rsid w:val="005A3462"/>
    <w:rsid w:val="006934A4"/>
    <w:rsid w:val="0069492E"/>
    <w:rsid w:val="00720D34"/>
    <w:rsid w:val="008163A0"/>
    <w:rsid w:val="00870A02"/>
    <w:rsid w:val="008A145C"/>
    <w:rsid w:val="00915C55"/>
    <w:rsid w:val="00924C93"/>
    <w:rsid w:val="00967631"/>
    <w:rsid w:val="00995C76"/>
    <w:rsid w:val="009C04D2"/>
    <w:rsid w:val="00A977A1"/>
    <w:rsid w:val="00AF317F"/>
    <w:rsid w:val="00B300E6"/>
    <w:rsid w:val="00B92ED6"/>
    <w:rsid w:val="00B968D2"/>
    <w:rsid w:val="00CB4DD8"/>
    <w:rsid w:val="00DA343A"/>
    <w:rsid w:val="00DC5953"/>
    <w:rsid w:val="00DD34F1"/>
    <w:rsid w:val="00DD4C36"/>
    <w:rsid w:val="00E25F30"/>
    <w:rsid w:val="00E667FF"/>
    <w:rsid w:val="00EE0E34"/>
    <w:rsid w:val="00F02F59"/>
    <w:rsid w:val="00F02F85"/>
    <w:rsid w:val="00F03BA8"/>
    <w:rsid w:val="00F37214"/>
    <w:rsid w:val="00F5483E"/>
    <w:rsid w:val="00F67CCC"/>
    <w:rsid w:val="00F76EAB"/>
    <w:rsid w:val="00F8647D"/>
    <w:rsid w:val="00FB202B"/>
    <w:rsid w:val="00FB7807"/>
    <w:rsid w:val="018000D1"/>
    <w:rsid w:val="01D86831"/>
    <w:rsid w:val="0235188F"/>
    <w:rsid w:val="025348E1"/>
    <w:rsid w:val="03211EE5"/>
    <w:rsid w:val="036E400D"/>
    <w:rsid w:val="04D175C7"/>
    <w:rsid w:val="06837D83"/>
    <w:rsid w:val="068920C7"/>
    <w:rsid w:val="07963358"/>
    <w:rsid w:val="085B7B78"/>
    <w:rsid w:val="095978DC"/>
    <w:rsid w:val="0B1615DF"/>
    <w:rsid w:val="0C1F2478"/>
    <w:rsid w:val="0C530F10"/>
    <w:rsid w:val="0D0D414E"/>
    <w:rsid w:val="106B2DC6"/>
    <w:rsid w:val="12AC38F3"/>
    <w:rsid w:val="13AF04E6"/>
    <w:rsid w:val="13B1075D"/>
    <w:rsid w:val="13DE5CA7"/>
    <w:rsid w:val="147B65E8"/>
    <w:rsid w:val="151357C5"/>
    <w:rsid w:val="170A6085"/>
    <w:rsid w:val="17B93EB6"/>
    <w:rsid w:val="18107E17"/>
    <w:rsid w:val="18ED4548"/>
    <w:rsid w:val="1A2E1A32"/>
    <w:rsid w:val="1A673AF6"/>
    <w:rsid w:val="1A8C3367"/>
    <w:rsid w:val="1AB02A55"/>
    <w:rsid w:val="1ACB6B3B"/>
    <w:rsid w:val="1AD47F68"/>
    <w:rsid w:val="1D8160F6"/>
    <w:rsid w:val="1E0225F1"/>
    <w:rsid w:val="1E177818"/>
    <w:rsid w:val="20220E60"/>
    <w:rsid w:val="207A05DD"/>
    <w:rsid w:val="208D0B5B"/>
    <w:rsid w:val="20CB63FC"/>
    <w:rsid w:val="20CC1966"/>
    <w:rsid w:val="228757E3"/>
    <w:rsid w:val="233D6491"/>
    <w:rsid w:val="23A128D5"/>
    <w:rsid w:val="24B06A30"/>
    <w:rsid w:val="25CB455E"/>
    <w:rsid w:val="275452A6"/>
    <w:rsid w:val="27EF5F7B"/>
    <w:rsid w:val="281B7F91"/>
    <w:rsid w:val="289645FA"/>
    <w:rsid w:val="28D825F7"/>
    <w:rsid w:val="2A864303"/>
    <w:rsid w:val="2B411E22"/>
    <w:rsid w:val="2CC142C9"/>
    <w:rsid w:val="2CD8106A"/>
    <w:rsid w:val="2D3D07DF"/>
    <w:rsid w:val="2DAC2B78"/>
    <w:rsid w:val="2DAE41BA"/>
    <w:rsid w:val="2F316C59"/>
    <w:rsid w:val="31F23906"/>
    <w:rsid w:val="33701898"/>
    <w:rsid w:val="339A499D"/>
    <w:rsid w:val="34837869"/>
    <w:rsid w:val="350027AC"/>
    <w:rsid w:val="35BD00AD"/>
    <w:rsid w:val="35D34688"/>
    <w:rsid w:val="35E80211"/>
    <w:rsid w:val="36AC0673"/>
    <w:rsid w:val="38387229"/>
    <w:rsid w:val="399E74BC"/>
    <w:rsid w:val="39FA69D3"/>
    <w:rsid w:val="3AE84D37"/>
    <w:rsid w:val="3BD859DF"/>
    <w:rsid w:val="3BEF5D73"/>
    <w:rsid w:val="3F743965"/>
    <w:rsid w:val="3F8B3D26"/>
    <w:rsid w:val="4058557F"/>
    <w:rsid w:val="40C7076E"/>
    <w:rsid w:val="40CD0CC6"/>
    <w:rsid w:val="415F6774"/>
    <w:rsid w:val="42772D5F"/>
    <w:rsid w:val="42AF2B11"/>
    <w:rsid w:val="43FF289F"/>
    <w:rsid w:val="44223166"/>
    <w:rsid w:val="44AD2D17"/>
    <w:rsid w:val="46B72D86"/>
    <w:rsid w:val="48D1364C"/>
    <w:rsid w:val="49005432"/>
    <w:rsid w:val="491D57EB"/>
    <w:rsid w:val="4C1053D7"/>
    <w:rsid w:val="4C6220AA"/>
    <w:rsid w:val="4F7D0AE7"/>
    <w:rsid w:val="4FC75637"/>
    <w:rsid w:val="509273D8"/>
    <w:rsid w:val="51CA293B"/>
    <w:rsid w:val="522A793C"/>
    <w:rsid w:val="524F53F3"/>
    <w:rsid w:val="55230AEC"/>
    <w:rsid w:val="56480E9B"/>
    <w:rsid w:val="576B7310"/>
    <w:rsid w:val="57DD1DEC"/>
    <w:rsid w:val="57E07805"/>
    <w:rsid w:val="588F033E"/>
    <w:rsid w:val="58C675C6"/>
    <w:rsid w:val="58E55B27"/>
    <w:rsid w:val="5918266C"/>
    <w:rsid w:val="59643E91"/>
    <w:rsid w:val="5B894078"/>
    <w:rsid w:val="5BA60E32"/>
    <w:rsid w:val="5C216608"/>
    <w:rsid w:val="5C45759A"/>
    <w:rsid w:val="5E164648"/>
    <w:rsid w:val="5E926D0E"/>
    <w:rsid w:val="5F0F7720"/>
    <w:rsid w:val="5FBE7D8F"/>
    <w:rsid w:val="609D22E3"/>
    <w:rsid w:val="60A04315"/>
    <w:rsid w:val="60EC646C"/>
    <w:rsid w:val="61C95F85"/>
    <w:rsid w:val="61DB58CB"/>
    <w:rsid w:val="6264099B"/>
    <w:rsid w:val="63027F93"/>
    <w:rsid w:val="67D65B6E"/>
    <w:rsid w:val="68230F43"/>
    <w:rsid w:val="69F93E6D"/>
    <w:rsid w:val="6A66681F"/>
    <w:rsid w:val="6C117498"/>
    <w:rsid w:val="6CD32270"/>
    <w:rsid w:val="6DD76A0B"/>
    <w:rsid w:val="6FFB0A24"/>
    <w:rsid w:val="700E6B4E"/>
    <w:rsid w:val="702F30AC"/>
    <w:rsid w:val="7088496E"/>
    <w:rsid w:val="72505AD7"/>
    <w:rsid w:val="72C26EA6"/>
    <w:rsid w:val="7497042E"/>
    <w:rsid w:val="756E14EE"/>
    <w:rsid w:val="7602435E"/>
    <w:rsid w:val="761F10CF"/>
    <w:rsid w:val="76F97C3B"/>
    <w:rsid w:val="77E438F3"/>
    <w:rsid w:val="77F05EF8"/>
    <w:rsid w:val="79223C3E"/>
    <w:rsid w:val="79F3413D"/>
    <w:rsid w:val="7A422654"/>
    <w:rsid w:val="7A605F76"/>
    <w:rsid w:val="7CDF7A91"/>
    <w:rsid w:val="7D4F5679"/>
    <w:rsid w:val="7DF27EB5"/>
    <w:rsid w:val="7E205890"/>
    <w:rsid w:val="7E7A7546"/>
    <w:rsid w:val="7F5C643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脚 Char"/>
    <w:link w:val="2"/>
    <w:qFormat/>
    <w:uiPriority w:val="0"/>
    <w:rPr>
      <w:kern w:val="2"/>
      <w:sz w:val="18"/>
      <w:szCs w:val="18"/>
    </w:rPr>
  </w:style>
  <w:style w:type="character" w:customStyle="1" w:styleId="8">
    <w:name w:val="页眉 Char"/>
    <w:link w:val="3"/>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42f90743-4b74-46fe-bbf5-5a33c663f5d8</errorID>
      <errorWord>{</errorWord>
      <group>L1_Format</group>
      <groupName>格式问题</groupName>
      <ability>L2_HalfPunc</ability>
      <abilityName>全半角检查</abilityName>
      <candidateList>
        <item>｛</item>
      </candidateList>
      <explain>文本全半角错误。</explain>
      <paraID>71BE0E13</paraID>
      <start>58</start>
      <end>59</end>
      <status>ignored</status>
      <modifiedWord/>
      <trackRevisions>false</trackRevisions>
    </reviewItem>
    <reviewItem>
      <errorID>329c91ed-0ad0-4e91-89ef-9560655cfaf6</errorID>
      <errorWord>{</errorWord>
      <group>L1_Format</group>
      <groupName>格式问题</groupName>
      <ability>L2_HalfPunc</ability>
      <abilityName>全半角检查</abilityName>
      <candidateList>
        <item>｛</item>
      </candidateList>
      <explain>文本全半角错误。</explain>
      <paraID>71BE0E13</paraID>
      <start>59</start>
      <end>60</end>
      <status>ignored</status>
      <modifiedWord/>
      <trackRevisions>false</trackRevisions>
    </reviewItem>
    <reviewItem>
      <errorID>07391518-951e-42a0-a99b-ee423554fd73</errorID>
      <errorWord>}</errorWord>
      <group>L1_Format</group>
      <groupName>格式问题</groupName>
      <ability>L2_HalfPunc</ability>
      <abilityName>全半角检查</abilityName>
      <candidateList>
        <item>｝</item>
      </candidateList>
      <explain>文本全半角错误。</explain>
      <paraID>71BE0E13</paraID>
      <start>64</start>
      <end>65</end>
      <status>ignored</status>
      <modifiedWord/>
      <trackRevisions>false</trackRevisions>
    </reviewItem>
    <reviewItem>
      <errorID>0af96941-524f-4e7f-81e4-ee5132df9d08</errorID>
      <errorWord>{</errorWord>
      <group>L1_Format</group>
      <groupName>格式问题</groupName>
      <ability>L2_HalfPunc</ability>
      <abilityName>全半角检查</abilityName>
      <candidateList>
        <item>｛</item>
      </candidateList>
      <explain>文本全半角错误。</explain>
      <paraID> A5656A6</paraID>
      <start>3</start>
      <end>4</end>
      <status>ignored</status>
      <modifiedWord/>
      <trackRevisions>false</trackRevisions>
    </reviewItem>
    <reviewItem>
      <errorID>7e7f8ded-cc47-4942-9483-1b282370ba73</errorID>
      <errorWord>{</errorWord>
      <group>L1_Format</group>
      <groupName>格式问题</groupName>
      <ability>L2_HalfPunc</ability>
      <abilityName>全半角检查</abilityName>
      <candidateList>
        <item>｛</item>
      </candidateList>
      <explain>文本全半角错误。</explain>
      <paraID> A5656A6</paraID>
      <start>4</start>
      <end>5</end>
      <status>ignored</status>
      <modifiedWord/>
      <trackRevisions>false</trackRevisions>
    </reviewItem>
    <reviewItem>
      <errorID>8b918f05-ad2e-4260-a2c3-b96e4be3e61e</errorID>
      <errorWord>}</errorWord>
      <group>L1_Format</group>
      <groupName>格式问题</groupName>
      <ability>L2_HalfPunc</ability>
      <abilityName>全半角检查</abilityName>
      <candidateList>
        <item>｝</item>
      </candidateList>
      <explain>文本全半角错误。</explain>
      <paraID> A5656A6</paraID>
      <start>7</start>
      <end>8</end>
      <status>ignored</status>
      <modifiedWord/>
      <trackRevisions>false</trackRevisions>
    </reviewItem>
    <reviewItem>
      <errorID>c68618a1-95dc-46a2-b45a-5c3e7416a8cd</errorID>
      <errorWord>{</errorWord>
      <group>L1_Format</group>
      <groupName>格式问题</groupName>
      <ability>L2_HalfPunc</ability>
      <abilityName>全半角检查</abilityName>
      <candidateList>
        <item>｛</item>
      </candidateList>
      <explain>文本全半角错误。</explain>
      <paraID>711BE3C4</paraID>
      <start>3</start>
      <end>4</end>
      <status>ignored</status>
      <modifiedWord/>
      <trackRevisions>false</trackRevisions>
    </reviewItem>
    <reviewItem>
      <errorID>56ee2116-ca1d-435b-9daf-0422567ce5cd</errorID>
      <errorWord>{</errorWord>
      <group>L1_Format</group>
      <groupName>格式问题</groupName>
      <ability>L2_HalfPunc</ability>
      <abilityName>全半角检查</abilityName>
      <candidateList>
        <item>｛</item>
      </candidateList>
      <explain>文本全半角错误。</explain>
      <paraID>711BE3C4</paraID>
      <start>4</start>
      <end>5</end>
      <status>ignored</status>
      <modifiedWord/>
      <trackRevisions>false</trackRevisions>
    </reviewItem>
    <reviewItem>
      <errorID>596295c6-6331-41fe-a60f-3e1138013a75</errorID>
      <errorWord>}</errorWord>
      <group>L1_Format</group>
      <groupName>格式问题</groupName>
      <ability>L2_HalfPunc</ability>
      <abilityName>全半角检查</abilityName>
      <candidateList>
        <item>｝</item>
      </candidateList>
      <explain>文本全半角错误。</explain>
      <paraID>711BE3C4</paraID>
      <start>7</start>
      <end>8</end>
      <status>ignored</status>
      <modifiedWord/>
      <trackRevisions>false</trackRevisions>
    </reviewItem>
    <reviewItem>
      <errorID>a7569e1d-9d5f-48eb-8489-eb8adb6325ee</errorID>
      <errorWord>，</errorWord>
      <group>L1_AI</group>
      <groupName>深度校对</groupName>
      <ability>L2_AI_Punc</ability>
      <abilityName>标点纠错</abilityName>
      <candidateList>
        <item/>
      </candidateList>
      <explain/>
      <paraID>722B9445</paraID>
      <start>15</start>
      <end>15</end>
      <status>modified</status>
      <modifiedWord/>
      <trackRevisions>false</trackRevisions>
    </reviewItem>
    <reviewItem>
      <errorID>9e1ab973-05c1-4882-b342-5f55ed4373e5</errorID>
      <errorWord> </errorWord>
      <group>L1_AI</group>
      <groupName>深度校对</groupName>
      <ability>L2_AI_Punc</ability>
      <abilityName>标点纠错</abilityName>
      <candidateList>
        <item/>
      </candidateList>
      <explain>此处空格冗余，建议删除。</explain>
      <paraID>722B9445</paraID>
      <start>28</start>
      <end>28</end>
      <status>modified</status>
      <modifiedWord/>
      <trackRevisions>false</trackRevisions>
    </reviewItem>
    <reviewItem>
      <errorID>53187db6-765a-4628-b6f6-991fcd209215</errorID>
      <errorWord>。</errorWord>
      <group>L1_AI</group>
      <groupName>深度校对</groupName>
      <ability>L2_AI_Punc</ability>
      <abilityName>标点纠错</abilityName>
      <candidateList>
        <item>，</item>
      </candidateList>
      <explain/>
      <paraID>722B9445</paraID>
      <start>35</start>
      <end>36</end>
      <status>modified</status>
      <modifiedWord>，</modifiedWord>
      <trackRevisions>false</trackRevisions>
    </reviewItem>
    <reviewItem>
      <errorID>9fd37c69-882b-44a5-862b-423644a8b180</errorID>
      <errorWord>，）</errorWord>
      <group>L1_AI</group>
      <groupName>深度校对</groupName>
      <ability>L2_AI_Punc</ability>
      <abilityName>标点纠错</abilityName>
      <candidateList>
        <item>），</item>
      </candidateList>
      <explain/>
      <paraID>722B9445</paraID>
      <start>42</start>
      <end>44</end>
      <status>modified</status>
      <modifiedWord>），</modifiedWord>
      <trackRevisions>false</trackRevisions>
    </reviewItem>
    <reviewItem>
      <errorID>d7384447-100c-4b05-b630-0ebec07cbbae</errorID>
      <errorWord>{</errorWord>
      <group>L1_Format</group>
      <groupName>格式问题</groupName>
      <ability>L2_HalfPunc</ability>
      <abilityName>全半角检查</abilityName>
      <candidateList>
        <item>｛</item>
      </candidateList>
      <explain>文本全半角错误。</explain>
      <paraID>74BEBFD5</paraID>
      <start>5</start>
      <end>6</end>
      <status>ignored</status>
      <modifiedWord/>
      <trackRevisions>false</trackRevisions>
    </reviewItem>
    <reviewItem>
      <errorID>44b60b0a-411e-49a3-b1bf-39c499395564</errorID>
      <errorWord>{</errorWord>
      <group>L1_Format</group>
      <groupName>格式问题</groupName>
      <ability>L2_HalfPunc</ability>
      <abilityName>全半角检查</abilityName>
      <candidateList>
        <item>｛</item>
      </candidateList>
      <explain>文本全半角错误。</explain>
      <paraID>74BEBFD5</paraID>
      <start>6</start>
      <end>7</end>
      <status>ignored</status>
      <modifiedWord/>
      <trackRevisions>false</trackRevisions>
    </reviewItem>
    <reviewItem>
      <errorID>b340a695-fc3d-4ad4-8bdf-c4cac57ac875</errorID>
      <errorWord>}</errorWord>
      <group>L1_Format</group>
      <groupName>格式问题</groupName>
      <ability>L2_HalfPunc</ability>
      <abilityName>全半角检查</abilityName>
      <candidateList>
        <item>｝</item>
      </candidateList>
      <explain>文本全半角错误。</explain>
      <paraID>74BEBFD5</paraID>
      <start>11</start>
      <end>12</end>
      <status>ignored</status>
      <modifiedWord/>
      <trackRevisions>false</trackRevisions>
    </reviewItem>
    <reviewItem>
      <errorID>8ababfb5-2c66-48b8-a857-4fcbd95ec5b6</errorID>
      <errorWord>}</errorWord>
      <group>L1_Format</group>
      <groupName>格式问题</groupName>
      <ability>L2_HalfPunc</ability>
      <abilityName>全半角检查</abilityName>
      <candidateList>
        <item>｝</item>
      </candidateList>
      <explain>文本全半角错误。</explain>
      <paraID>74BEBFD5</paraID>
      <start>12</start>
      <end>13</end>
      <status>ignored</status>
      <modifiedWord/>
      <trackRevisions>false</trackRevisions>
    </reviewItem>
    <reviewItem>
      <errorID>1fe5a0d3-bbc6-49a5-beb4-42396e9388c0</errorID>
      <errorWord>{</errorWord>
      <group>L1_Format</group>
      <groupName>格式问题</groupName>
      <ability>L2_HalfPunc</ability>
      <abilityName>全半角检查</abilityName>
      <candidateList>
        <item>｛</item>
      </candidateList>
      <explain>文本全半角错误。</explain>
      <paraID>74BEBFD5</paraID>
      <start>15</start>
      <end>16</end>
      <status>ignored</status>
      <modifiedWord/>
      <trackRevisions>false</trackRevisions>
    </reviewItem>
    <reviewItem>
      <errorID>b9160298-082c-4adc-bea9-09f483bd6482</errorID>
      <errorWord>{</errorWord>
      <group>L1_Format</group>
      <groupName>格式问题</groupName>
      <ability>L2_HalfPunc</ability>
      <abilityName>全半角检查</abilityName>
      <candidateList>
        <item>｛</item>
      </candidateList>
      <explain>文本全半角错误。</explain>
      <paraID>74BEBFD5</paraID>
      <start>16</start>
      <end>17</end>
      <status>ignored</status>
      <modifiedWord/>
      <trackRevisions>false</trackRevisions>
    </reviewItem>
    <reviewItem>
      <errorID>125cafe0-2a82-4c1b-ae26-fc75c12c96fe</errorID>
      <errorWord>}</errorWord>
      <group>L1_Format</group>
      <groupName>格式问题</groupName>
      <ability>L2_HalfPunc</ability>
      <abilityName>全半角检查</abilityName>
      <candidateList>
        <item>｝</item>
      </candidateList>
      <explain>文本全半角错误。</explain>
      <paraID>74BEBFD5</paraID>
      <start>21</start>
      <end>22</end>
      <status>ignored</status>
      <modifiedWord/>
      <trackRevisions>false</trackRevisions>
    </reviewItem>
    <reviewItem>
      <errorID>96a84e27-f7d0-412f-89d9-22576e09a54a</errorID>
      <errorWord>}</errorWord>
      <group>L1_Format</group>
      <groupName>格式问题</groupName>
      <ability>L2_HalfPunc</ability>
      <abilityName>全半角检查</abilityName>
      <candidateList>
        <item>｝</item>
      </candidateList>
      <explain>文本全半角错误。</explain>
      <paraID>74BEBFD5</paraID>
      <start>22</start>
      <end>23</end>
      <status>ignored</status>
      <modifiedWord/>
      <trackRevisions>false</trackRevisions>
    </reviewItem>
    <reviewItem>
      <errorID>05615665-e0e0-44ea-8a93-47b93a2eb011</errorID>
      <errorWord>其他</errorWord>
      <group>L1_AI</group>
      <groupName>深度校对</groupName>
      <ability>L2_AI_Word</ability>
      <abilityName>字词纠错</abilityName>
      <candidateList>
        <item>因其他</item>
      </candidateList>
      <explain/>
      <paraID>6D5CF2A1</paraID>
      <start>0</start>
      <end>3</end>
      <status>modified</status>
      <modifiedWord>因其他</modifiedWord>
      <trackRevisions>false</trackRevisions>
    </reviewItem>
    <reviewItem>
      <errorID>3ea2beb6-a371-4444-8854-ee62af3ccdfa</errorID>
      <errorWord>人民法院</errorWord>
      <group>L1_AI</group>
      <groupName>深度校对</groupName>
      <ability>L2_AI_Grammar</ability>
      <abilityName>语法纠错</abilityName>
      <candidateList>
        <item>所在地人民法院</item>
      </candidateList>
      <explain/>
      <paraID>6D5CF2A1</paraID>
      <start>39</start>
      <end>46</end>
      <status>modified</status>
      <modifiedWord>所在地人民法院</modifiedWord>
      <trackRevisions>false</trackRevisions>
    </reviewItem>
    <reviewItem>
      <errorID>7c5badcc-703c-48b9-a662-af4343ce39dc</errorID>
      <errorWord>{</errorWord>
      <group>L1_Format</group>
      <groupName>格式问题</groupName>
      <ability>L2_HalfPunc</ability>
      <abilityName>全半角检查</abilityName>
      <candidateList>
        <item>｛</item>
      </candidateList>
      <explain>文本全半角错误。</explain>
      <paraID>3F5E16EF</paraID>
      <start>3</start>
      <end>4</end>
      <status>ignored</status>
      <modifiedWord/>
      <trackRevisions>false</trackRevisions>
    </reviewItem>
    <reviewItem>
      <errorID>5ccd7c0b-dd21-446e-9945-9cac12296174</errorID>
      <errorWord>{</errorWord>
      <group>L1_Format</group>
      <groupName>格式问题</groupName>
      <ability>L2_HalfPunc</ability>
      <abilityName>全半角检查</abilityName>
      <candidateList>
        <item>｛</item>
      </candidateList>
      <explain>文本全半角错误。</explain>
      <paraID>3F5E16EF</paraID>
      <start>4</start>
      <end>5</end>
      <status>ignored</status>
      <modifiedWord/>
      <trackRevisions>false</trackRevisions>
    </reviewItem>
    <reviewItem>
      <errorID>d0f46b01-58ee-45a8-bb45-32519a0a5ecc</errorID>
      <errorWord>}</errorWord>
      <group>L1_Format</group>
      <groupName>格式问题</groupName>
      <ability>L2_HalfPunc</ability>
      <abilityName>全半角检查</abilityName>
      <candidateList>
        <item>｝</item>
      </candidateList>
      <explain>文本全半角错误。</explain>
      <paraID>3F5E16EF</paraID>
      <start>9</start>
      <end>10</end>
      <status>ignored</status>
      <modifiedWord/>
      <trackRevisions>false</trackRevisions>
    </reviewItem>
    <reviewItem>
      <errorID>ee5924b8-8d3d-412a-b28f-0b5cc912bde9</errorID>
      <errorWord>{</errorWord>
      <group>L1_Format</group>
      <groupName>格式问题</groupName>
      <ability>L2_HalfPunc</ability>
      <abilityName>全半角检查</abilityName>
      <candidateList>
        <item>｛</item>
      </candidateList>
      <explain>文本全半角错误。</explain>
      <paraID>3F5E16EF</paraID>
      <start>31</start>
      <end>32</end>
      <status>ignored</status>
      <modifiedWord/>
      <trackRevisions>false</trackRevisions>
    </reviewItem>
    <reviewItem>
      <errorID>5ac2d386-1744-4f74-b87e-5320ed446eaa</errorID>
      <errorWord>{</errorWord>
      <group>L1_Format</group>
      <groupName>格式问题</groupName>
      <ability>L2_HalfPunc</ability>
      <abilityName>全半角检查</abilityName>
      <candidateList>
        <item>｛</item>
      </candidateList>
      <explain>文本全半角错误。</explain>
      <paraID>3F5E16EF</paraID>
      <start>32</start>
      <end>33</end>
      <status>ignored</status>
      <modifiedWord/>
      <trackRevisions>false</trackRevisions>
    </reviewItem>
    <reviewItem>
      <errorID>5a02ff25-cc3f-4a10-beaf-e7068707474b</errorID>
      <errorWord>}</errorWord>
      <group>L1_Format</group>
      <groupName>格式问题</groupName>
      <ability>L2_HalfPunc</ability>
      <abilityName>全半角检查</abilityName>
      <candidateList>
        <item>｝</item>
      </candidateList>
      <explain>文本全半角错误。</explain>
      <paraID>3F5E16EF</paraID>
      <start>37</start>
      <end>38</end>
      <status>ignored</status>
      <modifiedWord/>
      <trackRevisions>false</trackRevisions>
    </reviewItem>
  </reviewItems>
  <config/>
</contractReview>
</file>

<file path=customXml/itemProps1.xml><?xml version="1.0" encoding="utf-8"?>
<ds:datastoreItem xmlns:ds="http://schemas.openxmlformats.org/officeDocument/2006/customXml" ds:itemID="{75a1af7a-9e55-4f53-b512-43854f69ca53}">
  <ds:schemaRefs/>
</ds:datastoreItem>
</file>

<file path=docProps/app.xml><?xml version="1.0" encoding="utf-8"?>
<Properties xmlns="http://schemas.openxmlformats.org/officeDocument/2006/extended-properties" xmlns:vt="http://schemas.openxmlformats.org/officeDocument/2006/docPropsVTypes">
  <Template>Normal</Template>
  <Pages>1</Pages>
  <Words>477</Words>
  <Characters>495</Characters>
  <Lines>7</Lines>
  <Paragraphs>2</Paragraphs>
  <TotalTime>0</TotalTime>
  <ScaleCrop>false</ScaleCrop>
  <LinksUpToDate>false</LinksUpToDate>
  <CharactersWithSpaces>624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2018-05-24T11:38:00Z</dcterms:created>
  <dc:creator>X</dc:creator>
  <cp:lastModifiedBy>少爷仔</cp:lastModifiedBy>
  <cp:lastPrinted>2019-04-11T07:22:00Z</cp:lastPrinted>
  <dcterms:modified xsi:type="dcterms:W3CDTF">2026-04-08T03:10:24Z</dcterms:modified>
  <dc:title>农产品购销合同/订单</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882BCF34849A462EBE19BD75F7AEE8DE_13</vt:lpwstr>
  </property>
  <property fmtid="{D5CDD505-2E9C-101B-9397-08002B2CF9AE}" pid="4" name="KSOTemplateDocerSaveRecord">
    <vt:lpwstr>eyJoZGlkIjoiODRmMzQ5ZjRmMmEzZTk4ZTFmMzFmOGRmMDM4YjE5ZjEiLCJ1c2VySWQiOiIxMDIzNzUwNzA0In0=</vt:lpwstr>
  </property>
</Properties>
</file>