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D9B36">
      <w:pPr>
        <w:spacing w:before="200" w:after="100"/>
        <w:jc w:val="center"/>
      </w:pPr>
      <w:r>
        <w:rPr>
          <w:rFonts w:ascii="宋体" w:hAnsi="宋体" w:eastAsia="宋体" w:cs="宋体"/>
          <w:b/>
          <w:bCs/>
          <w:sz w:val="36"/>
          <w:szCs w:val="36"/>
        </w:rPr>
        <w:t>农产品</w:t>
      </w:r>
      <w:r>
        <w:rPr>
          <w:rFonts w:hint="eastAsia" w:cs="宋体"/>
          <w:b/>
          <w:bCs/>
          <w:sz w:val="36"/>
          <w:szCs w:val="36"/>
          <w:lang w:val="en-US" w:eastAsia="zh-CN"/>
        </w:rPr>
        <w:t>采购</w:t>
      </w:r>
      <w:r>
        <w:rPr>
          <w:rFonts w:ascii="宋体" w:hAnsi="宋体" w:eastAsia="宋体" w:cs="宋体"/>
          <w:b/>
          <w:bCs/>
          <w:sz w:val="36"/>
          <w:szCs w:val="36"/>
        </w:rPr>
        <w:t>合同</w:t>
      </w:r>
    </w:p>
    <w:p w14:paraId="4340FD5C">
      <w:pPr>
        <w:spacing w:before="60" w:after="60" w:line="360" w:lineRule="auto"/>
        <w:jc w:val="both"/>
        <w:rPr>
          <w:rFonts w:ascii="宋体" w:hAnsi="宋体" w:eastAsia="宋体" w:cs="宋体"/>
          <w:b w:val="0"/>
          <w:bCs w:val="0"/>
          <w:sz w:val="21"/>
          <w:szCs w:val="21"/>
        </w:rPr>
      </w:pPr>
    </w:p>
    <w:p w14:paraId="1E68930C">
      <w:pPr>
        <w:spacing w:before="60" w:after="60" w:line="360" w:lineRule="auto"/>
        <w:jc w:val="both"/>
        <w:rPr>
          <w:rFonts w:hint="eastAsia" w:asciiTheme="minorEastAsia" w:hAnsiTheme="minorEastAsia" w:eastAsiaTheme="minorEastAsia" w:cstheme="minorEastAsia"/>
          <w:b w:val="0"/>
          <w:bCs w:val="0"/>
          <w:sz w:val="22"/>
          <w:szCs w:val="22"/>
        </w:rPr>
      </w:pPr>
      <w:r>
        <w:rPr>
          <w:rFonts w:hint="eastAsia" w:asciiTheme="minorEastAsia" w:hAnsiTheme="minorEastAsia" w:eastAsiaTheme="minorEastAsia" w:cstheme="minorEastAsia"/>
          <w:b w:val="0"/>
          <w:bCs w:val="0"/>
          <w:sz w:val="22"/>
          <w:szCs w:val="22"/>
        </w:rPr>
        <w:t>甲方（采购方）：</w:t>
      </w:r>
      <w:r>
        <w:rPr>
          <w:rFonts w:hint="eastAsia" w:asciiTheme="minorEastAsia" w:hAnsiTheme="minorEastAsia" w:eastAsiaTheme="minorEastAsia" w:cstheme="minorEastAsia"/>
          <w:b w:val="0"/>
          <w:bCs w:val="0"/>
          <w:sz w:val="22"/>
          <w:szCs w:val="22"/>
          <w:lang w:val="en-US" w:eastAsia="zh-CN"/>
        </w:rPr>
        <w:t>{{甲方}}</w:t>
      </w:r>
    </w:p>
    <w:p w14:paraId="3FC6E13C">
      <w:pPr>
        <w:spacing w:before="60" w:after="60" w:line="360" w:lineRule="auto"/>
        <w:jc w:val="both"/>
        <w:rPr>
          <w:rFonts w:hint="eastAsia" w:asciiTheme="minorEastAsia" w:hAnsiTheme="minorEastAsia" w:eastAsiaTheme="minorEastAsia" w:cstheme="minorEastAsia"/>
          <w:b w:val="0"/>
          <w:bCs w:val="0"/>
          <w:sz w:val="22"/>
          <w:szCs w:val="22"/>
        </w:rPr>
      </w:pPr>
      <w:r>
        <w:rPr>
          <w:rFonts w:hint="eastAsia" w:asciiTheme="minorEastAsia" w:hAnsiTheme="minorEastAsia" w:eastAsiaTheme="minorEastAsia" w:cstheme="minorEastAsia"/>
          <w:b w:val="0"/>
          <w:bCs w:val="0"/>
          <w:sz w:val="22"/>
          <w:szCs w:val="22"/>
        </w:rPr>
        <w:t>乙方（供货方）：</w:t>
      </w:r>
      <w:r>
        <w:rPr>
          <w:rFonts w:hint="eastAsia" w:asciiTheme="minorEastAsia" w:hAnsiTheme="minorEastAsia" w:eastAsiaTheme="minorEastAsia" w:cstheme="minorEastAsia"/>
          <w:b w:val="0"/>
          <w:bCs w:val="0"/>
          <w:sz w:val="22"/>
          <w:szCs w:val="22"/>
          <w:lang w:val="en-US" w:eastAsia="zh-CN"/>
        </w:rPr>
        <w:t>{{乙方}}</w:t>
      </w:r>
    </w:p>
    <w:p w14:paraId="6A0F2868">
      <w:pPr>
        <w:widowControl w:val="0"/>
        <w:spacing w:before="60" w:after="60" w:line="360" w:lineRule="auto"/>
        <w:ind w:firstLine="440" w:firstLineChars="200"/>
        <w:jc w:val="both"/>
        <w:rPr>
          <w:rFonts w:hint="eastAsia" w:asciiTheme="minorEastAsia" w:hAnsiTheme="minorEastAsia" w:eastAsiaTheme="minorEastAsia" w:cstheme="minorEastAsia"/>
          <w:b w:val="0"/>
          <w:bCs w:val="0"/>
          <w:sz w:val="22"/>
          <w:szCs w:val="22"/>
          <w:lang w:eastAsia="zh-CN"/>
        </w:rPr>
      </w:pPr>
      <w:r>
        <w:rPr>
          <w:rFonts w:hint="eastAsia" w:asciiTheme="minorEastAsia" w:hAnsiTheme="minorEastAsia" w:eastAsiaTheme="minorEastAsia" w:cstheme="minorEastAsia"/>
          <w:b w:val="0"/>
          <w:bCs w:val="0"/>
          <w:sz w:val="22"/>
          <w:szCs w:val="22"/>
        </w:rPr>
        <w:t>依据《中华人民共和国民法典》以及国家相关法律法规，经甲乙双方友好磋商，就甲方购置乙方产品事宜订立本合同。</w:t>
      </w:r>
    </w:p>
    <w:p w14:paraId="11F8E865">
      <w:pPr>
        <w:spacing w:before="60" w:after="60" w:line="360" w:lineRule="auto"/>
        <w:jc w:val="both"/>
      </w:pPr>
      <w:r>
        <w:rPr>
          <w:rFonts w:hint="eastAsia" w:asciiTheme="minorEastAsia" w:hAnsiTheme="minorEastAsia" w:eastAsiaTheme="minorEastAsia" w:cstheme="minorEastAsia"/>
          <w:b w:val="0"/>
          <w:bCs w:val="0"/>
          <w:sz w:val="22"/>
          <w:szCs w:val="22"/>
        </w:rPr>
        <w:t>合同期限：</w:t>
      </w:r>
      <w:r>
        <w:rPr>
          <w:rFonts w:hint="eastAsia" w:asciiTheme="minorEastAsia" w:hAnsiTheme="minorEastAsia" w:eastAsiaTheme="minorEastAsia" w:cstheme="minorEastAsia"/>
          <w:b w:val="0"/>
          <w:bCs w:val="0"/>
          <w:sz w:val="22"/>
          <w:szCs w:val="22"/>
          <w:lang w:val="en-US" w:eastAsia="zh-CN"/>
        </w:rPr>
        <w:t>{{开始日期}}始至{{结束日期}}止。</w:t>
      </w:r>
    </w:p>
    <w:p w14:paraId="370B9444">
      <w:pPr>
        <w:spacing w:before="200" w:after="100"/>
        <w:jc w:val="both"/>
      </w:pPr>
      <w:r>
        <w:rPr>
          <w:rFonts w:ascii="宋体" w:hAnsi="宋体" w:eastAsia="宋体" w:cs="宋体"/>
          <w:b/>
          <w:bCs/>
          <w:sz w:val="21"/>
          <w:szCs w:val="21"/>
        </w:rPr>
        <w:t>一、标的物名称、数量、价款：</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6"/>
        <w:gridCol w:w="1806"/>
        <w:gridCol w:w="1806"/>
        <w:gridCol w:w="1823"/>
      </w:tblGrid>
      <w:tr w14:paraId="34FC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000000" w:sz="0" w:space="0"/>
              <w:left w:val="single" w:color="000000" w:sz="0" w:space="0"/>
              <w:bottom w:val="single" w:color="000000" w:sz="0" w:space="0"/>
              <w:right w:val="single" w:color="000000" w:sz="0" w:space="0"/>
            </w:tcBorders>
            <w:shd w:val="clear" w:color="auto" w:fill="B6DDE8" w:themeFill="accent5" w:themeFillTint="66"/>
            <w:vAlign w:val="center"/>
          </w:tcPr>
          <w:p w14:paraId="6A283E54">
            <w:pPr>
              <w:spacing w:before="40" w:after="40"/>
              <w:jc w:val="center"/>
            </w:pPr>
            <w:r>
              <w:rPr>
                <w:rFonts w:ascii="宋体" w:hAnsi="宋体" w:eastAsia="宋体" w:cs="宋体"/>
                <w:b/>
                <w:bCs/>
                <w:sz w:val="21"/>
                <w:szCs w:val="21"/>
              </w:rPr>
              <w:t>品种</w:t>
            </w:r>
          </w:p>
        </w:tc>
        <w:tc>
          <w:tcPr>
            <w:tcW w:w="1806" w:type="dxa"/>
            <w:tcBorders>
              <w:top w:val="single" w:color="000000" w:sz="0" w:space="0"/>
              <w:left w:val="single" w:color="000000" w:sz="0" w:space="0"/>
              <w:bottom w:val="single" w:color="000000" w:sz="0" w:space="0"/>
              <w:right w:val="single" w:color="000000" w:sz="0" w:space="0"/>
            </w:tcBorders>
            <w:shd w:val="clear" w:color="auto" w:fill="B6DDE8" w:themeFill="accent5" w:themeFillTint="66"/>
            <w:vAlign w:val="center"/>
          </w:tcPr>
          <w:p w14:paraId="17F658AA">
            <w:pPr>
              <w:spacing w:before="40" w:after="40"/>
              <w:jc w:val="center"/>
            </w:pPr>
            <w:r>
              <w:rPr>
                <w:rFonts w:ascii="宋体" w:hAnsi="宋体" w:eastAsia="宋体" w:cs="宋体"/>
                <w:b/>
                <w:bCs/>
                <w:sz w:val="21"/>
                <w:szCs w:val="21"/>
              </w:rPr>
              <w:t>单位</w:t>
            </w:r>
          </w:p>
        </w:tc>
        <w:tc>
          <w:tcPr>
            <w:tcW w:w="1806" w:type="dxa"/>
            <w:tcBorders>
              <w:top w:val="single" w:color="000000" w:sz="0" w:space="0"/>
              <w:left w:val="single" w:color="000000" w:sz="0" w:space="0"/>
              <w:bottom w:val="single" w:color="000000" w:sz="0" w:space="0"/>
              <w:right w:val="single" w:color="000000" w:sz="0" w:space="0"/>
            </w:tcBorders>
            <w:shd w:val="clear" w:color="auto" w:fill="B6DDE8" w:themeFill="accent5" w:themeFillTint="66"/>
            <w:vAlign w:val="center"/>
          </w:tcPr>
          <w:p w14:paraId="24AF9A59">
            <w:pPr>
              <w:spacing w:before="40" w:after="40"/>
              <w:jc w:val="center"/>
            </w:pPr>
            <w:r>
              <w:rPr>
                <w:rFonts w:ascii="宋体" w:hAnsi="宋体" w:eastAsia="宋体" w:cs="宋体"/>
                <w:b/>
                <w:bCs/>
                <w:sz w:val="21"/>
                <w:szCs w:val="21"/>
              </w:rPr>
              <w:t>单价</w:t>
            </w:r>
          </w:p>
        </w:tc>
        <w:tc>
          <w:tcPr>
            <w:tcW w:w="1806" w:type="dxa"/>
            <w:tcBorders>
              <w:top w:val="single" w:color="000000" w:sz="0" w:space="0"/>
              <w:left w:val="single" w:color="000000" w:sz="0" w:space="0"/>
              <w:bottom w:val="single" w:color="000000" w:sz="0" w:space="0"/>
              <w:right w:val="single" w:color="000000" w:sz="0" w:space="0"/>
            </w:tcBorders>
            <w:shd w:val="clear" w:color="auto" w:fill="B6DDE8" w:themeFill="accent5" w:themeFillTint="66"/>
            <w:vAlign w:val="center"/>
          </w:tcPr>
          <w:p w14:paraId="1B0BA4DF">
            <w:pPr>
              <w:spacing w:before="40" w:after="40"/>
              <w:jc w:val="center"/>
            </w:pPr>
            <w:r>
              <w:rPr>
                <w:rFonts w:ascii="宋体" w:hAnsi="宋体" w:eastAsia="宋体" w:cs="宋体"/>
                <w:b/>
                <w:bCs/>
                <w:sz w:val="21"/>
                <w:szCs w:val="21"/>
              </w:rPr>
              <w:t>数量</w:t>
            </w:r>
          </w:p>
        </w:tc>
        <w:tc>
          <w:tcPr>
            <w:tcW w:w="1823" w:type="dxa"/>
            <w:tcBorders>
              <w:top w:val="single" w:color="000000" w:sz="0" w:space="0"/>
              <w:left w:val="single" w:color="000000" w:sz="0" w:space="0"/>
              <w:bottom w:val="single" w:color="000000" w:sz="0" w:space="0"/>
              <w:right w:val="single" w:color="000000" w:sz="0" w:space="0"/>
            </w:tcBorders>
            <w:shd w:val="clear" w:color="auto" w:fill="B6DDE8" w:themeFill="accent5" w:themeFillTint="66"/>
            <w:vAlign w:val="center"/>
          </w:tcPr>
          <w:p w14:paraId="41BF0930">
            <w:pPr>
              <w:spacing w:before="40" w:after="40"/>
              <w:jc w:val="center"/>
            </w:pPr>
            <w:r>
              <w:rPr>
                <w:rFonts w:ascii="宋体" w:hAnsi="宋体" w:eastAsia="宋体" w:cs="宋体"/>
                <w:b/>
                <w:bCs/>
                <w:sz w:val="21"/>
                <w:szCs w:val="21"/>
              </w:rPr>
              <w:t>金额（元）</w:t>
            </w:r>
          </w:p>
        </w:tc>
      </w:tr>
      <w:tr w14:paraId="2235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vAlign w:val="center"/>
          </w:tcPr>
          <w:p w14:paraId="56F4B282">
            <w:pPr>
              <w:spacing w:before="40" w:after="40"/>
              <w:jc w:val="center"/>
            </w:pPr>
          </w:p>
        </w:tc>
        <w:tc>
          <w:tcPr>
            <w:tcW w:w="1806" w:type="dxa"/>
            <w:tcBorders>
              <w:top w:val="single" w:color="000000" w:sz="0" w:space="0"/>
              <w:left w:val="single" w:color="000000" w:sz="0" w:space="0"/>
              <w:bottom w:val="single" w:color="000000" w:sz="0" w:space="0"/>
              <w:right w:val="single" w:color="000000" w:sz="0" w:space="0"/>
            </w:tcBorders>
            <w:vAlign w:val="center"/>
          </w:tcPr>
          <w:p w14:paraId="54EC186D">
            <w:pPr>
              <w:spacing w:before="40" w:after="40"/>
              <w:jc w:val="center"/>
            </w:pPr>
            <w:r>
              <w:rPr>
                <w:rFonts w:ascii="宋体" w:hAnsi="宋体" w:eastAsia="宋体" w:cs="宋体"/>
                <w:b w:val="0"/>
                <w:bCs w:val="0"/>
                <w:sz w:val="21"/>
                <w:szCs w:val="21"/>
              </w:rPr>
              <w:t>公斤</w:t>
            </w:r>
          </w:p>
        </w:tc>
        <w:tc>
          <w:tcPr>
            <w:tcW w:w="1806" w:type="dxa"/>
            <w:tcBorders>
              <w:top w:val="single" w:color="000000" w:sz="0" w:space="0"/>
              <w:left w:val="single" w:color="000000" w:sz="0" w:space="0"/>
              <w:bottom w:val="single" w:color="000000" w:sz="0" w:space="0"/>
              <w:right w:val="single" w:color="000000" w:sz="0" w:space="0"/>
            </w:tcBorders>
            <w:vAlign w:val="center"/>
          </w:tcPr>
          <w:p w14:paraId="1320EB56">
            <w:pPr>
              <w:spacing w:before="40" w:after="40"/>
              <w:jc w:val="center"/>
            </w:pPr>
          </w:p>
        </w:tc>
        <w:tc>
          <w:tcPr>
            <w:tcW w:w="1806" w:type="dxa"/>
            <w:tcBorders>
              <w:top w:val="single" w:color="000000" w:sz="0" w:space="0"/>
              <w:left w:val="single" w:color="000000" w:sz="0" w:space="0"/>
              <w:bottom w:val="single" w:color="000000" w:sz="0" w:space="0"/>
              <w:right w:val="single" w:color="000000" w:sz="0" w:space="0"/>
            </w:tcBorders>
            <w:vAlign w:val="center"/>
          </w:tcPr>
          <w:p w14:paraId="2351C8D5">
            <w:pPr>
              <w:spacing w:before="40" w:after="40"/>
              <w:jc w:val="center"/>
            </w:pPr>
          </w:p>
        </w:tc>
        <w:tc>
          <w:tcPr>
            <w:tcW w:w="1823" w:type="dxa"/>
            <w:tcBorders>
              <w:top w:val="single" w:color="000000" w:sz="0" w:space="0"/>
              <w:left w:val="single" w:color="000000" w:sz="0" w:space="0"/>
              <w:bottom w:val="single" w:color="000000" w:sz="0" w:space="0"/>
              <w:right w:val="single" w:color="000000" w:sz="0" w:space="0"/>
            </w:tcBorders>
            <w:vAlign w:val="center"/>
          </w:tcPr>
          <w:p w14:paraId="5955BE58">
            <w:pPr>
              <w:spacing w:before="40" w:after="40"/>
              <w:jc w:val="center"/>
            </w:pPr>
          </w:p>
        </w:tc>
      </w:tr>
      <w:tr w14:paraId="375A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vAlign w:val="center"/>
          </w:tcPr>
          <w:p w14:paraId="2668CC59">
            <w:pPr>
              <w:spacing w:before="40" w:after="40"/>
              <w:jc w:val="center"/>
            </w:pPr>
          </w:p>
        </w:tc>
        <w:tc>
          <w:tcPr>
            <w:tcW w:w="1806" w:type="dxa"/>
            <w:tcBorders>
              <w:top w:val="single" w:color="000000" w:sz="0" w:space="0"/>
              <w:left w:val="single" w:color="000000" w:sz="0" w:space="0"/>
              <w:bottom w:val="single" w:color="000000" w:sz="0" w:space="0"/>
              <w:right w:val="single" w:color="000000" w:sz="0" w:space="0"/>
            </w:tcBorders>
            <w:vAlign w:val="center"/>
          </w:tcPr>
          <w:p w14:paraId="2FCF9893">
            <w:pPr>
              <w:spacing w:before="40" w:after="40"/>
              <w:jc w:val="center"/>
            </w:pPr>
            <w:r>
              <w:rPr>
                <w:rFonts w:ascii="宋体" w:hAnsi="宋体" w:eastAsia="宋体" w:cs="宋体"/>
                <w:b w:val="0"/>
                <w:bCs w:val="0"/>
                <w:sz w:val="21"/>
                <w:szCs w:val="21"/>
              </w:rPr>
              <w:t>公斤</w:t>
            </w:r>
          </w:p>
        </w:tc>
        <w:tc>
          <w:tcPr>
            <w:tcW w:w="1806" w:type="dxa"/>
            <w:tcBorders>
              <w:top w:val="single" w:color="000000" w:sz="0" w:space="0"/>
              <w:left w:val="single" w:color="000000" w:sz="0" w:space="0"/>
              <w:bottom w:val="single" w:color="000000" w:sz="0" w:space="0"/>
              <w:right w:val="single" w:color="000000" w:sz="0" w:space="0"/>
            </w:tcBorders>
            <w:vAlign w:val="center"/>
          </w:tcPr>
          <w:p w14:paraId="4A2DD78C">
            <w:pPr>
              <w:spacing w:before="40" w:after="40"/>
              <w:jc w:val="center"/>
            </w:pPr>
          </w:p>
        </w:tc>
        <w:tc>
          <w:tcPr>
            <w:tcW w:w="1806" w:type="dxa"/>
            <w:tcBorders>
              <w:top w:val="single" w:color="000000" w:sz="0" w:space="0"/>
              <w:left w:val="single" w:color="000000" w:sz="0" w:space="0"/>
              <w:bottom w:val="single" w:color="000000" w:sz="0" w:space="0"/>
              <w:right w:val="single" w:color="000000" w:sz="0" w:space="0"/>
            </w:tcBorders>
            <w:vAlign w:val="center"/>
          </w:tcPr>
          <w:p w14:paraId="0C3C4B84">
            <w:pPr>
              <w:spacing w:before="40" w:after="40"/>
              <w:jc w:val="center"/>
            </w:pPr>
          </w:p>
        </w:tc>
        <w:tc>
          <w:tcPr>
            <w:tcW w:w="1823" w:type="dxa"/>
            <w:tcBorders>
              <w:top w:val="single" w:color="000000" w:sz="0" w:space="0"/>
              <w:left w:val="single" w:color="000000" w:sz="0" w:space="0"/>
              <w:bottom w:val="single" w:color="000000" w:sz="0" w:space="0"/>
              <w:right w:val="single" w:color="000000" w:sz="0" w:space="0"/>
            </w:tcBorders>
            <w:vAlign w:val="center"/>
          </w:tcPr>
          <w:p w14:paraId="346C15B6">
            <w:pPr>
              <w:spacing w:before="40" w:after="40"/>
              <w:jc w:val="center"/>
            </w:pPr>
          </w:p>
        </w:tc>
      </w:tr>
    </w:tbl>
    <w:p w14:paraId="5AAA52B0">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二、质量要求</w:t>
      </w:r>
    </w:p>
    <w:p w14:paraId="1E3D0740">
      <w:pPr>
        <w:widowControl w:val="0"/>
        <w:bidi w:val="0"/>
        <w:spacing w:before="60" w:after="60" w:line="360" w:lineRule="auto"/>
        <w:jc w:val="both"/>
        <w:rPr>
          <w:rFonts w:ascii="宋体" w:hAnsi="宋体" w:eastAsia="宋体" w:cs="宋体"/>
          <w:b w:val="0"/>
          <w:bCs w:val="0"/>
          <w:sz w:val="21"/>
          <w:szCs w:val="21"/>
        </w:rPr>
      </w:pPr>
      <w:r>
        <w:rPr>
          <w:rFonts w:ascii="宋体" w:hAnsi="宋体" w:eastAsia="宋体" w:cs="宋体"/>
          <w:b w:val="0"/>
          <w:bCs w:val="0"/>
          <w:sz w:val="22"/>
          <w:szCs w:val="22"/>
        </w:rPr>
        <w:t>乙方需确保向甲方提供的产品质量合格，无毒无害，符合相关规定要求以及我国针对本合同项下产品所制定的相关质量标准。</w:t>
      </w:r>
    </w:p>
    <w:p w14:paraId="19B53155">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三、交</w:t>
      </w:r>
      <w:r>
        <w:rPr>
          <w:rFonts w:hint="eastAsia" w:cs="宋体"/>
          <w:b/>
          <w:bCs/>
          <w:sz w:val="21"/>
          <w:szCs w:val="21"/>
          <w:lang w:eastAsia="zh-CN"/>
        </w:rPr>
        <w:t>货</w:t>
      </w:r>
      <w:r>
        <w:rPr>
          <w:rFonts w:ascii="宋体" w:hAnsi="宋体" w:eastAsia="宋体" w:cs="宋体"/>
          <w:b/>
          <w:bCs/>
          <w:sz w:val="21"/>
          <w:szCs w:val="21"/>
        </w:rPr>
        <w:t>地点、时间、数量及方式</w:t>
      </w:r>
    </w:p>
    <w:p w14:paraId="158E9DE2">
      <w:pPr>
        <w:widowControl w:val="0"/>
        <w:bidi w:val="0"/>
        <w:spacing w:before="60" w:after="60" w:line="360" w:lineRule="auto"/>
        <w:jc w:val="both"/>
        <w:rPr>
          <w:rFonts w:ascii="宋体" w:hAnsi="宋体" w:eastAsia="宋体" w:cs="宋体"/>
          <w:b w:val="0"/>
          <w:bCs w:val="0"/>
          <w:sz w:val="22"/>
          <w:szCs w:val="22"/>
        </w:rPr>
      </w:pPr>
      <w:r>
        <w:rPr>
          <w:rFonts w:ascii="宋体" w:hAnsi="宋体" w:eastAsia="宋体" w:cs="宋体"/>
          <w:b w:val="0"/>
          <w:bCs w:val="0"/>
          <w:sz w:val="22"/>
          <w:szCs w:val="22"/>
        </w:rPr>
        <w:t>1. 甲方向乙方采购产品时，由乙方负责按照甲方要求将货物运送至甲方指定的交货地点。</w:t>
      </w:r>
    </w:p>
    <w:p w14:paraId="5D0913B1">
      <w:pPr>
        <w:widowControl w:val="0"/>
        <w:bidi w:val="0"/>
        <w:spacing w:before="60" w:after="60" w:line="360" w:lineRule="auto"/>
        <w:jc w:val="both"/>
        <w:rPr>
          <w:rFonts w:ascii="宋体" w:hAnsi="宋体" w:eastAsia="宋体" w:cs="宋体"/>
          <w:b w:val="0"/>
          <w:bCs w:val="0"/>
          <w:sz w:val="22"/>
          <w:szCs w:val="22"/>
        </w:rPr>
      </w:pPr>
      <w:r>
        <w:rPr>
          <w:rFonts w:ascii="宋体" w:hAnsi="宋体" w:eastAsia="宋体" w:cs="宋体"/>
          <w:b w:val="0"/>
          <w:bCs w:val="0"/>
          <w:sz w:val="22"/>
          <w:szCs w:val="22"/>
        </w:rPr>
        <w:t>2. 产品的交（提）货期限与数量：甲、乙双方共同确定交货时间，到货数量以甲方实际验收的数量为准。</w:t>
      </w:r>
    </w:p>
    <w:p w14:paraId="2BD88B13">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四、结算方式及期限</w:t>
      </w:r>
    </w:p>
    <w:p w14:paraId="7135F138">
      <w:pPr>
        <w:widowControl w:val="0"/>
        <w:bidi w:val="0"/>
        <w:spacing w:before="60" w:after="60" w:line="360" w:lineRule="auto"/>
        <w:jc w:val="both"/>
        <w:rPr>
          <w:rFonts w:ascii="宋体" w:hAnsi="宋体" w:eastAsia="宋体" w:cs="宋体"/>
          <w:b w:val="0"/>
          <w:bCs w:val="0"/>
          <w:sz w:val="22"/>
          <w:szCs w:val="22"/>
        </w:rPr>
      </w:pPr>
      <w:r>
        <w:rPr>
          <w:rFonts w:ascii="宋体" w:hAnsi="宋体" w:eastAsia="宋体" w:cs="宋体"/>
          <w:b w:val="0"/>
          <w:bCs w:val="0"/>
          <w:sz w:val="22"/>
          <w:szCs w:val="22"/>
        </w:rPr>
        <w:t>1. 结算方式：现金、转账、银行承兑汇票。</w:t>
      </w:r>
    </w:p>
    <w:p w14:paraId="3D74686B">
      <w:pPr>
        <w:widowControl w:val="0"/>
        <w:bidi w:val="0"/>
        <w:spacing w:before="60" w:after="60" w:line="360" w:lineRule="auto"/>
        <w:jc w:val="both"/>
        <w:rPr>
          <w:rFonts w:hint="eastAsia" w:cs="宋体"/>
          <w:b w:val="0"/>
          <w:bCs w:val="0"/>
          <w:sz w:val="21"/>
          <w:szCs w:val="21"/>
          <w:lang w:eastAsia="zh-CN"/>
        </w:rPr>
      </w:pPr>
      <w:r>
        <w:rPr>
          <w:rFonts w:ascii="宋体" w:hAnsi="宋体" w:eastAsia="宋体" w:cs="宋体"/>
          <w:b w:val="0"/>
          <w:bCs w:val="0"/>
          <w:sz w:val="22"/>
          <w:szCs w:val="22"/>
        </w:rPr>
        <w:t>2. 结算期限：自产品交付之日起</w:t>
      </w:r>
      <w:r>
        <w:rPr>
          <w:rFonts w:hint="eastAsia" w:ascii="宋体" w:hAnsi="宋体" w:eastAsia="宋体" w:cs="宋体"/>
          <w:b w:val="0"/>
          <w:bCs w:val="0"/>
          <w:sz w:val="22"/>
          <w:szCs w:val="22"/>
          <w:lang w:val="en-US" w:eastAsia="zh-CN"/>
        </w:rPr>
        <w:t>9</w:t>
      </w:r>
      <w:r>
        <w:rPr>
          <w:rFonts w:ascii="宋体" w:hAnsi="宋体" w:eastAsia="宋体" w:cs="宋体"/>
          <w:b w:val="0"/>
          <w:bCs w:val="0"/>
          <w:sz w:val="22"/>
          <w:szCs w:val="22"/>
        </w:rPr>
        <w:t>0日内完成结算。</w:t>
      </w:r>
    </w:p>
    <w:p w14:paraId="09918598">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五、验收及异议期：</w:t>
      </w:r>
    </w:p>
    <w:p w14:paraId="162E87C6">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 xml:space="preserve">1. </w:t>
      </w:r>
      <w:r>
        <w:rPr>
          <w:rFonts w:ascii="宋体" w:hAnsi="宋体" w:eastAsia="宋体" w:cs="宋体"/>
          <w:b w:val="0"/>
          <w:bCs w:val="0"/>
          <w:sz w:val="22"/>
          <w:szCs w:val="22"/>
        </w:rPr>
        <w:t>在验收过程中，甲方如果发现所收到的产品在品种、规格以及质量方面不符合合同规定的要求，那么甲方应当一方面采取妥善的措施对这些产品进行保管，避免产品受到进一步的损害或者丢失；另一方面，甲方需要在十天的时间内向乙方提出书面异议，明确指出产品存在的问题。同时，在托收承付期内，甲方拥有拒绝支付不符合合同规定部分货款的权利，以此来维护自身的合法权益。</w:t>
      </w:r>
    </w:p>
    <w:p w14:paraId="5446B7DE">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2.</w:t>
      </w:r>
      <w:r>
        <w:rPr>
          <w:rFonts w:ascii="宋体" w:hAnsi="宋体" w:eastAsia="宋体" w:cs="宋体"/>
          <w:b w:val="0"/>
          <w:bCs w:val="0"/>
          <w:sz w:val="22"/>
          <w:szCs w:val="22"/>
        </w:rPr>
        <w:t>倘若甲方没有按照规定的期限向乙方提出书面异议，那么</w:t>
      </w:r>
      <w:r>
        <w:rPr>
          <w:rFonts w:hint="eastAsia" w:cs="宋体"/>
          <w:b w:val="0"/>
          <w:bCs w:val="0"/>
          <w:sz w:val="22"/>
          <w:szCs w:val="22"/>
          <w:lang w:eastAsia="zh-CN"/>
        </w:rPr>
        <w:t>就</w:t>
      </w:r>
      <w:r>
        <w:rPr>
          <w:rFonts w:ascii="宋体" w:hAnsi="宋体" w:eastAsia="宋体" w:cs="宋体"/>
          <w:b w:val="0"/>
          <w:bCs w:val="0"/>
          <w:sz w:val="22"/>
          <w:szCs w:val="22"/>
        </w:rPr>
        <w:t>视为乙方所交付的产品完全符合合同规定的各项要求，甲方认可了产品的质量和规格等方面。</w:t>
      </w:r>
    </w:p>
    <w:p w14:paraId="14B8F9EC">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3.</w:t>
      </w:r>
      <w:r>
        <w:rPr>
          <w:rFonts w:ascii="宋体" w:hAnsi="宋体" w:eastAsia="宋体" w:cs="宋体"/>
          <w:b w:val="0"/>
          <w:bCs w:val="0"/>
          <w:sz w:val="22"/>
          <w:szCs w:val="22"/>
        </w:rPr>
        <w:t>如果甲方因为自身保管不善等原因，例如没有按照产品的储存要求进行存放、没有采取必要的防护措施等，导致产品的质量出现下降的情况，那么甲方就不得再向乙方提出关于产品质量的异议。</w:t>
      </w:r>
    </w:p>
    <w:p w14:paraId="02377DFE">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4.</w:t>
      </w:r>
      <w:r>
        <w:rPr>
          <w:rFonts w:ascii="宋体" w:hAnsi="宋体" w:eastAsia="宋体" w:cs="宋体"/>
          <w:b w:val="0"/>
          <w:bCs w:val="0"/>
          <w:sz w:val="22"/>
          <w:szCs w:val="22"/>
        </w:rPr>
        <w:t>当乙方接到甲方的书面异议之后，乙方应当在十天内（除非另有相关规定或者当事人之间另行商定了其他的期限）负责对甲方提出的异议进行处理。如果乙方未能在规定的时间内进行处理，那么</w:t>
      </w:r>
      <w:r>
        <w:rPr>
          <w:rFonts w:hint="eastAsia" w:cs="宋体"/>
          <w:b w:val="0"/>
          <w:bCs w:val="0"/>
          <w:sz w:val="22"/>
          <w:szCs w:val="22"/>
          <w:lang w:eastAsia="zh-CN"/>
        </w:rPr>
        <w:t>就</w:t>
      </w:r>
      <w:r>
        <w:rPr>
          <w:rFonts w:ascii="宋体" w:hAnsi="宋体" w:eastAsia="宋体" w:cs="宋体"/>
          <w:b w:val="0"/>
          <w:bCs w:val="0"/>
          <w:sz w:val="22"/>
          <w:szCs w:val="22"/>
        </w:rPr>
        <w:t>视为乙方默认了甲方提出的异议以及相应的处理意见。</w:t>
      </w:r>
    </w:p>
    <w:p w14:paraId="6672152C">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六、产品所有权：</w:t>
      </w:r>
    </w:p>
    <w:p w14:paraId="1EB42CE0">
      <w:pPr>
        <w:widowControl w:val="0"/>
        <w:bidi w:val="0"/>
        <w:spacing w:before="60" w:after="60" w:line="360" w:lineRule="auto"/>
        <w:jc w:val="both"/>
        <w:rPr>
          <w:rFonts w:ascii="宋体" w:hAnsi="宋体" w:eastAsia="宋体" w:cs="宋体"/>
          <w:b w:val="0"/>
          <w:bCs w:val="0"/>
          <w:sz w:val="21"/>
          <w:szCs w:val="21"/>
        </w:rPr>
      </w:pPr>
      <w:r>
        <w:rPr>
          <w:rFonts w:ascii="宋体" w:hAnsi="宋体" w:eastAsia="宋体" w:cs="宋体"/>
          <w:b w:val="0"/>
          <w:bCs w:val="0"/>
          <w:sz w:val="22"/>
          <w:szCs w:val="22"/>
        </w:rPr>
        <w:t>乙方向甲方出售的产品，其所有权自乙方将产品正式交付给甲方的那一刻起，就转移至甲方所有。也就是说，从交付的时间点开始，甲方对该产品拥有完全的所有权和处置权。</w:t>
      </w:r>
    </w:p>
    <w:p w14:paraId="68FA0813">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七、产品风险承担：</w:t>
      </w:r>
    </w:p>
    <w:p w14:paraId="73D5105B">
      <w:pPr>
        <w:widowControl w:val="0"/>
        <w:bidi w:val="0"/>
        <w:spacing w:before="60" w:after="60" w:line="360" w:lineRule="auto"/>
        <w:jc w:val="both"/>
        <w:rPr>
          <w:rFonts w:ascii="宋体" w:hAnsi="宋体" w:eastAsia="宋体" w:cs="宋体"/>
          <w:b w:val="0"/>
          <w:bCs w:val="0"/>
          <w:sz w:val="22"/>
          <w:szCs w:val="22"/>
        </w:rPr>
      </w:pPr>
      <w:r>
        <w:rPr>
          <w:rFonts w:ascii="宋体" w:hAnsi="宋体" w:eastAsia="宋体" w:cs="宋体"/>
          <w:b w:val="0"/>
          <w:bCs w:val="0"/>
          <w:sz w:val="22"/>
          <w:szCs w:val="22"/>
        </w:rPr>
        <w:t>对于产品毁损、灭失的风险问题，在产品还未交付给甲方之前，这一风险是由乙方来承担的。一旦产品交付给了甲方，那么产品毁损、灭失的风险就相应地转移到了甲方身上。</w:t>
      </w:r>
    </w:p>
    <w:p w14:paraId="29B53A18">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八、侵权责任：</w:t>
      </w:r>
    </w:p>
    <w:p w14:paraId="309B7681">
      <w:pPr>
        <w:widowControl w:val="0"/>
        <w:bidi w:val="0"/>
        <w:spacing w:before="60" w:after="60" w:line="360" w:lineRule="auto"/>
        <w:jc w:val="both"/>
        <w:rPr>
          <w:rFonts w:ascii="宋体" w:hAnsi="宋体" w:eastAsia="宋体" w:cs="宋体"/>
          <w:b w:val="0"/>
          <w:bCs w:val="0"/>
          <w:sz w:val="22"/>
          <w:szCs w:val="22"/>
        </w:rPr>
      </w:pPr>
      <w:r>
        <w:rPr>
          <w:rFonts w:ascii="宋体" w:hAnsi="宋体" w:eastAsia="宋体" w:cs="宋体"/>
          <w:b w:val="0"/>
          <w:bCs w:val="0"/>
          <w:sz w:val="22"/>
          <w:szCs w:val="22"/>
        </w:rPr>
        <w:t>如果因为乙方所提供的农产品在质量方面存在问题，从而引发了侵权责任，那么这一侵权责任将由乙方独立承担。若甲方依据相关的法律规定承担了连带或者垫付赔偿责任之后，乙方有义务向甲方全额清偿甲方所支付或者垫付的赔偿金，以保障甲方的经济利益不受损失。</w:t>
      </w:r>
    </w:p>
    <w:p w14:paraId="478F1734">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九、违约责任：</w:t>
      </w:r>
    </w:p>
    <w:p w14:paraId="3DC436D4">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1.</w:t>
      </w:r>
      <w:r>
        <w:rPr>
          <w:rFonts w:ascii="宋体" w:hAnsi="宋体" w:eastAsia="宋体" w:cs="宋体"/>
          <w:b w:val="0"/>
          <w:bCs w:val="0"/>
          <w:sz w:val="22"/>
          <w:szCs w:val="22"/>
        </w:rPr>
        <w:t>若乙方违反本合同第二条的约定，向甲方交付的产品并非由乙方自行收购的产品，或者所交付的产品质量不合格，那么甲方有权拒绝接收这些产品，或者将已经接收的产品退还给乙方。</w:t>
      </w:r>
    </w:p>
    <w:p w14:paraId="0F63FA66">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2.</w:t>
      </w:r>
      <w:r>
        <w:rPr>
          <w:rFonts w:ascii="宋体" w:hAnsi="宋体" w:eastAsia="宋体" w:cs="宋体"/>
          <w:b w:val="0"/>
          <w:bCs w:val="0"/>
          <w:sz w:val="22"/>
          <w:szCs w:val="22"/>
        </w:rPr>
        <w:t>由于上述原因导致甲方拒绝接收乙方的产品时，乙方应当按照本合同项下产品总价款3%的标准向甲方支付违约金，并且同时返还甲方已经支付的预付款。若因上述原因导致甲方向乙方退货，乙方需要返还甲方所支付的全部货款，</w:t>
      </w:r>
      <w:r>
        <w:rPr>
          <w:rFonts w:hint="eastAsia" w:cs="宋体"/>
          <w:b w:val="0"/>
          <w:bCs w:val="0"/>
          <w:sz w:val="22"/>
          <w:szCs w:val="22"/>
          <w:lang w:eastAsia="zh-CN"/>
        </w:rPr>
        <w:t>并</w:t>
      </w:r>
      <w:r>
        <w:rPr>
          <w:rFonts w:ascii="宋体" w:hAnsi="宋体" w:eastAsia="宋体" w:cs="宋体"/>
          <w:b w:val="0"/>
          <w:bCs w:val="0"/>
          <w:sz w:val="22"/>
          <w:szCs w:val="22"/>
        </w:rPr>
        <w:t>按照本合同项下产品总价款2%的标准向甲方支付违约金。此外，退货过程中产生的相关费用以及给甲方造成的损失都将由乙方独自承担。</w:t>
      </w:r>
    </w:p>
    <w:p w14:paraId="64EFF15D">
      <w:pPr>
        <w:widowControl w:val="0"/>
        <w:bidi w:val="0"/>
        <w:spacing w:before="60" w:after="60" w:line="360" w:lineRule="auto"/>
        <w:jc w:val="both"/>
        <w:rPr>
          <w:rFonts w:ascii="宋体" w:hAnsi="宋体" w:eastAsia="宋体" w:cs="宋体"/>
          <w:b w:val="0"/>
          <w:bCs w:val="0"/>
          <w:sz w:val="22"/>
          <w:szCs w:val="22"/>
        </w:rPr>
      </w:pPr>
      <w:r>
        <w:rPr>
          <w:rFonts w:hint="eastAsia" w:cs="宋体"/>
          <w:b w:val="0"/>
          <w:bCs w:val="0"/>
          <w:sz w:val="22"/>
          <w:szCs w:val="22"/>
          <w:lang w:eastAsia="zh-CN"/>
        </w:rPr>
        <w:t>3.</w:t>
      </w:r>
      <w:r>
        <w:rPr>
          <w:rFonts w:ascii="宋体" w:hAnsi="宋体" w:eastAsia="宋体" w:cs="宋体"/>
          <w:b w:val="0"/>
          <w:bCs w:val="0"/>
          <w:sz w:val="22"/>
          <w:szCs w:val="22"/>
        </w:rPr>
        <w:t>如果乙方延迟交付产品，在这种情况下，如果该产品的价格出现上涨，那么甲方有权按照本合同约定的价格进行付款；如果遇到该产品价格下降的情况，那么甲方有权按照该产品下降后的价格进行收购，以保障自身的经济利益。</w:t>
      </w:r>
    </w:p>
    <w:p w14:paraId="097E23D4">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十、解决合同争议方式：</w:t>
      </w:r>
      <w:bookmarkStart w:id="0" w:name="_GoBack"/>
      <w:bookmarkEnd w:id="0"/>
    </w:p>
    <w:p w14:paraId="5EB34D68">
      <w:pPr>
        <w:widowControl w:val="0"/>
        <w:bidi w:val="0"/>
        <w:spacing w:before="60" w:after="60" w:line="360" w:lineRule="auto"/>
        <w:ind w:firstLine="440" w:firstLineChars="200"/>
        <w:jc w:val="both"/>
        <w:rPr>
          <w:rFonts w:ascii="宋体" w:hAnsi="宋体" w:eastAsia="宋体" w:cs="宋体"/>
          <w:b w:val="0"/>
          <w:bCs w:val="0"/>
          <w:sz w:val="21"/>
          <w:szCs w:val="21"/>
        </w:rPr>
      </w:pPr>
      <w:r>
        <w:rPr>
          <w:rFonts w:ascii="宋体" w:hAnsi="宋体" w:eastAsia="宋体" w:cs="宋体"/>
          <w:b w:val="0"/>
          <w:bCs w:val="0"/>
          <w:sz w:val="22"/>
          <w:szCs w:val="22"/>
        </w:rPr>
        <w:t>在合同履行的过程中，如果发生了争议，双方首先应当通过友好协商的方式来解决问题。如果双方经过友好协商仍然无法达成一致意见，那么双方同意将该争议提交给人民法院进行</w:t>
      </w:r>
      <w:r>
        <w:rPr>
          <w:rFonts w:hint="eastAsia" w:cs="宋体"/>
          <w:b w:val="0"/>
          <w:bCs w:val="0"/>
          <w:sz w:val="22"/>
          <w:szCs w:val="22"/>
          <w:lang w:eastAsia="zh-CN"/>
        </w:rPr>
        <w:t>诉讼</w:t>
      </w:r>
      <w:r>
        <w:rPr>
          <w:rFonts w:ascii="宋体" w:hAnsi="宋体" w:eastAsia="宋体" w:cs="宋体"/>
          <w:b w:val="0"/>
          <w:bCs w:val="0"/>
          <w:sz w:val="22"/>
          <w:szCs w:val="22"/>
        </w:rPr>
        <w:t>，由人民法院依据相关的法律法规做出公正的裁决。</w:t>
      </w:r>
    </w:p>
    <w:p w14:paraId="59227631">
      <w:pPr>
        <w:widowControl w:val="0"/>
        <w:numPr>
          <w:ilvl w:val="0"/>
          <w:numId w:val="1"/>
        </w:numPr>
        <w:bidi w:val="0"/>
        <w:spacing w:before="200" w:after="300"/>
        <w:jc w:val="both"/>
        <w:rPr>
          <w:rFonts w:ascii="宋体" w:hAnsi="宋体" w:eastAsia="宋体" w:cs="宋体"/>
          <w:b/>
          <w:bCs/>
          <w:sz w:val="22"/>
          <w:szCs w:val="22"/>
        </w:rPr>
      </w:pPr>
      <w:r>
        <w:rPr>
          <w:rFonts w:hint="eastAsia" w:cs="宋体"/>
          <w:b/>
          <w:bCs/>
          <w:sz w:val="22"/>
          <w:szCs w:val="22"/>
          <w:lang w:val="en-US" w:eastAsia="zh-CN"/>
        </w:rPr>
        <w:t>其他条款</w:t>
      </w:r>
    </w:p>
    <w:p w14:paraId="33BA9979">
      <w:pPr>
        <w:widowControl w:val="0"/>
        <w:bidi w:val="0"/>
        <w:spacing w:before="60" w:after="60" w:line="360" w:lineRule="auto"/>
        <w:ind w:firstLine="440" w:firstLineChars="200"/>
        <w:jc w:val="both"/>
        <w:rPr>
          <w:rFonts w:ascii="宋体" w:hAnsi="宋体" w:eastAsia="宋体" w:cs="宋体"/>
          <w:b w:val="0"/>
          <w:bCs w:val="0"/>
          <w:sz w:val="22"/>
          <w:szCs w:val="22"/>
        </w:rPr>
      </w:pPr>
      <w:r>
        <w:rPr>
          <w:rFonts w:ascii="宋体" w:hAnsi="宋体" w:eastAsia="宋体" w:cs="宋体"/>
          <w:b w:val="0"/>
          <w:bCs w:val="0"/>
          <w:sz w:val="22"/>
          <w:szCs w:val="22"/>
        </w:rPr>
        <w:t>本合同</w:t>
      </w:r>
      <w:r>
        <w:rPr>
          <w:rFonts w:hint="eastAsia" w:cs="宋体"/>
          <w:b w:val="0"/>
          <w:bCs w:val="0"/>
          <w:sz w:val="22"/>
          <w:szCs w:val="22"/>
          <w:lang w:eastAsia="zh-CN"/>
        </w:rPr>
        <w:t>一式两份</w:t>
      </w:r>
      <w:r>
        <w:rPr>
          <w:rFonts w:ascii="宋体" w:hAnsi="宋体" w:eastAsia="宋体" w:cs="宋体"/>
          <w:b w:val="0"/>
          <w:bCs w:val="0"/>
          <w:sz w:val="22"/>
          <w:szCs w:val="22"/>
        </w:rPr>
        <w:t>，甲乙双方各执一份，自签署之日起</w:t>
      </w:r>
      <w:r>
        <w:rPr>
          <w:rFonts w:hint="eastAsia" w:cs="宋体"/>
          <w:b w:val="0"/>
          <w:bCs w:val="0"/>
          <w:sz w:val="22"/>
          <w:szCs w:val="22"/>
          <w:lang w:eastAsia="zh-CN"/>
        </w:rPr>
        <w:t>生效</w:t>
      </w:r>
      <w:r>
        <w:rPr>
          <w:rFonts w:ascii="宋体" w:hAnsi="宋体" w:eastAsia="宋体" w:cs="宋体"/>
          <w:b w:val="0"/>
          <w:bCs w:val="0"/>
          <w:sz w:val="22"/>
          <w:szCs w:val="22"/>
        </w:rPr>
        <w:t>。也就是说，从甲乙双方正式签署本合同的那一天开始，本合同就具有了法律效力，双方都应当按照合同的约定履行各自的义务。</w:t>
      </w:r>
    </w:p>
    <w:p w14:paraId="167314A6">
      <w:pPr>
        <w:widowControl w:val="0"/>
        <w:numPr>
          <w:ilvl w:val="0"/>
          <w:numId w:val="0"/>
        </w:numPr>
        <w:bidi w:val="0"/>
        <w:spacing w:before="200" w:after="300"/>
        <w:jc w:val="both"/>
        <w:rPr>
          <w:rFonts w:hint="eastAsia" w:ascii="宋体" w:hAnsi="宋体" w:eastAsia="宋体" w:cs="宋体"/>
          <w:b w:val="0"/>
          <w:bCs w:val="0"/>
          <w:sz w:val="21"/>
          <w:szCs w:val="21"/>
          <w:lang w:eastAsia="zh-CN"/>
        </w:rPr>
      </w:pPr>
    </w:p>
    <w:p w14:paraId="5C82A1C2">
      <w:pPr>
        <w:spacing w:before="400" w:after="60"/>
        <w:jc w:val="left"/>
        <w:rPr>
          <w:rFonts w:hint="eastAsia" w:cs="宋体"/>
          <w:sz w:val="22"/>
          <w:szCs w:val="22"/>
          <w:lang w:val="en-US" w:eastAsia="zh-CN"/>
        </w:rPr>
      </w:pPr>
      <w:r>
        <w:rPr>
          <w:rFonts w:ascii="宋体" w:hAnsi="宋体" w:eastAsia="宋体" w:cs="宋体"/>
          <w:sz w:val="22"/>
          <w:szCs w:val="22"/>
        </w:rPr>
        <w:t xml:space="preserve">甲方（盖章）：                                        </w:t>
      </w:r>
      <w:r>
        <w:rPr>
          <w:rFonts w:hint="eastAsia" w:cs="宋体"/>
          <w:sz w:val="22"/>
          <w:szCs w:val="22"/>
          <w:lang w:val="en-US" w:eastAsia="zh-CN"/>
        </w:rPr>
        <w:t xml:space="preserve">                                 </w:t>
      </w:r>
    </w:p>
    <w:p w14:paraId="5B65C868">
      <w:pPr>
        <w:spacing w:before="400" w:after="60"/>
        <w:jc w:val="left"/>
        <w:rPr>
          <w:rFonts w:hint="eastAsia" w:cs="宋体"/>
          <w:sz w:val="22"/>
          <w:szCs w:val="22"/>
          <w:lang w:val="en-US" w:eastAsia="zh-CN"/>
        </w:rPr>
      </w:pPr>
    </w:p>
    <w:p w14:paraId="78065011">
      <w:pPr>
        <w:spacing w:before="400" w:after="60"/>
        <w:jc w:val="left"/>
        <w:rPr>
          <w:sz w:val="22"/>
          <w:szCs w:val="22"/>
        </w:rPr>
      </w:pPr>
      <w:r>
        <w:rPr>
          <w:rFonts w:ascii="宋体" w:hAnsi="宋体" w:eastAsia="宋体" w:cs="宋体"/>
          <w:sz w:val="22"/>
          <w:szCs w:val="22"/>
        </w:rPr>
        <w:t>乙方（盖章）：</w:t>
      </w:r>
    </w:p>
    <w:p w14:paraId="3A38521B">
      <w:pPr>
        <w:spacing w:before="200" w:after="60"/>
        <w:jc w:val="left"/>
        <w:rPr>
          <w:rFonts w:hint="eastAsia"/>
          <w:sz w:val="22"/>
          <w:szCs w:val="22"/>
        </w:rPr>
      </w:pPr>
    </w:p>
    <w:p w14:paraId="7CC37E74">
      <w:pPr>
        <w:spacing w:before="200" w:after="60"/>
        <w:jc w:val="left"/>
        <w:rPr>
          <w:rFonts w:hint="eastAsia"/>
          <w:sz w:val="22"/>
          <w:szCs w:val="22"/>
        </w:rPr>
      </w:pPr>
    </w:p>
    <w:p w14:paraId="10542A81">
      <w:pPr>
        <w:spacing w:before="200" w:after="60"/>
        <w:jc w:val="left"/>
        <w:rPr>
          <w:sz w:val="20"/>
          <w:szCs w:val="20"/>
        </w:rPr>
      </w:pPr>
      <w:r>
        <w:rPr>
          <w:rFonts w:hint="eastAsia"/>
          <w:sz w:val="22"/>
          <w:szCs w:val="22"/>
        </w:rPr>
        <w:t>{{签署日期}}</w:t>
      </w:r>
      <w:r>
        <w:rPr>
          <w:rFonts w:ascii="宋体" w:hAnsi="宋体" w:eastAsia="宋体" w:cs="宋体"/>
          <w:sz w:val="20"/>
          <w:szCs w:val="20"/>
        </w:rPr>
        <w:t xml:space="preserve">                                   </w:t>
      </w:r>
      <w:r>
        <w:rPr>
          <w:rFonts w:hint="eastAsia" w:cs="宋体"/>
          <w:sz w:val="20"/>
          <w:szCs w:val="20"/>
          <w:lang w:val="en-US" w:eastAsia="zh-CN"/>
        </w:rPr>
        <w:t xml:space="preserve">                                          </w:t>
      </w:r>
    </w:p>
    <w:sectPr>
      <w:pgSz w:w="11906" w:h="16838"/>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FDAABE"/>
    <w:multiLevelType w:val="singleLevel"/>
    <w:tmpl w:val="6CFDAABE"/>
    <w:lvl w:ilvl="0" w:tentative="0">
      <w:start w:val="1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0BF03AB"/>
    <w:rsid w:val="31135B34"/>
    <w:rsid w:val="65C66673"/>
    <w:rsid w:val="675EEF52"/>
    <w:rsid w:val="6DEA4D84"/>
    <w:rsid w:val="F7ACD8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fd21a49f-a13d-411e-a201-f1edf89e7f6d</errorID>
      <errorWord>{</errorWord>
      <group>L1_Format</group>
      <groupName>格式问题</groupName>
      <ability>L2_HalfPunc</ability>
      <abilityName>全半角检查</abilityName>
      <candidateList>
        <item>｛</item>
      </candidateList>
      <explain>文本全半角错误。</explain>
      <paraID>1E68930C</paraID>
      <start>8</start>
      <end>9</end>
      <status>ignored</status>
      <modifiedWord/>
      <trackRevisions>false</trackRevisions>
    </reviewItem>
    <reviewItem>
      <errorID>a7f648ae-3ae1-4cc4-a1b6-dfb4f00ca92c</errorID>
      <errorWord>{</errorWord>
      <group>L1_Format</group>
      <groupName>格式问题</groupName>
      <ability>L2_HalfPunc</ability>
      <abilityName>全半角检查</abilityName>
      <candidateList>
        <item>｛</item>
      </candidateList>
      <explain>文本全半角错误。</explain>
      <paraID>1E68930C</paraID>
      <start>9</start>
      <end>10</end>
      <status>ignored</status>
      <modifiedWord/>
      <trackRevisions>false</trackRevisions>
    </reviewItem>
    <reviewItem>
      <errorID>3cad65a8-b948-4bee-86bb-3c7c74df9e1e</errorID>
      <errorWord>}</errorWord>
      <group>L1_Format</group>
      <groupName>格式问题</groupName>
      <ability>L2_HalfPunc</ability>
      <abilityName>全半角检查</abilityName>
      <candidateList>
        <item>｝</item>
      </candidateList>
      <explain>文本全半角错误。</explain>
      <paraID>1E68930C</paraID>
      <start>12</start>
      <end>13</end>
      <status>ignored</status>
      <modifiedWord/>
      <trackRevisions>false</trackRevisions>
    </reviewItem>
    <reviewItem>
      <errorID>66f32d39-0b90-46ac-8627-83ec5749c003</errorID>
      <errorWord>{</errorWord>
      <group>L1_Format</group>
      <groupName>格式问题</groupName>
      <ability>L2_HalfPunc</ability>
      <abilityName>全半角检查</abilityName>
      <candidateList>
        <item>｛</item>
      </candidateList>
      <explain>文本全半角错误。</explain>
      <paraID>3FC6E13C</paraID>
      <start>8</start>
      <end>9</end>
      <status>ignored</status>
      <modifiedWord/>
      <trackRevisions>false</trackRevisions>
    </reviewItem>
    <reviewItem>
      <errorID>63f26ba2-7e00-49c4-b27e-cbdfbad3c817</errorID>
      <errorWord>{</errorWord>
      <group>L1_Format</group>
      <groupName>格式问题</groupName>
      <ability>L2_HalfPunc</ability>
      <abilityName>全半角检查</abilityName>
      <candidateList>
        <item>｛</item>
      </candidateList>
      <explain>文本全半角错误。</explain>
      <paraID>3FC6E13C</paraID>
      <start>9</start>
      <end>10</end>
      <status>ignored</status>
      <modifiedWord/>
      <trackRevisions>false</trackRevisions>
    </reviewItem>
    <reviewItem>
      <errorID>61f5d6b1-cc4c-41e3-9da5-e5dbcb8f1550</errorID>
      <errorWord>}</errorWord>
      <group>L1_Format</group>
      <groupName>格式问题</groupName>
      <ability>L2_HalfPunc</ability>
      <abilityName>全半角检查</abilityName>
      <candidateList>
        <item>｝</item>
      </candidateList>
      <explain>文本全半角错误。</explain>
      <paraID>3FC6E13C</paraID>
      <start>12</start>
      <end>13</end>
      <status>ignored</status>
      <modifiedWord/>
      <trackRevisions>false</trackRevisions>
    </reviewItem>
    <reviewItem>
      <errorID>f4b5e62f-73d4-4626-a630-c0ce7f72330e</errorID>
      <errorWord>{</errorWord>
      <group>L1_Format</group>
      <groupName>格式问题</groupName>
      <ability>L2_HalfPunc</ability>
      <abilityName>全半角检查</abilityName>
      <candidateList>
        <item>｛</item>
      </candidateList>
      <explain>文本全半角错误。</explain>
      <paraID>11F8E865</paraID>
      <start>5</start>
      <end>6</end>
      <status>ignored</status>
      <modifiedWord/>
      <trackRevisions>false</trackRevisions>
    </reviewItem>
    <reviewItem>
      <errorID>f68724a8-830e-483d-b300-f293970aec09</errorID>
      <errorWord>{</errorWord>
      <group>L1_Format</group>
      <groupName>格式问题</groupName>
      <ability>L2_HalfPunc</ability>
      <abilityName>全半角检查</abilityName>
      <candidateList>
        <item>｛</item>
      </candidateList>
      <explain>文本全半角错误。</explain>
      <paraID>11F8E865</paraID>
      <start>6</start>
      <end>7</end>
      <status>ignored</status>
      <modifiedWord/>
      <trackRevisions>false</trackRevisions>
    </reviewItem>
    <reviewItem>
      <errorID>882a705c-6e16-49f1-9ac1-8489faae7e92</errorID>
      <errorWord>}</errorWord>
      <group>L1_Format</group>
      <groupName>格式问题</groupName>
      <ability>L2_HalfPunc</ability>
      <abilityName>全半角检查</abilityName>
      <candidateList>
        <item>｝</item>
      </candidateList>
      <explain>文本全半角错误。</explain>
      <paraID>11F8E865</paraID>
      <start>11</start>
      <end>12</end>
      <status>ignored</status>
      <modifiedWord/>
      <trackRevisions>false</trackRevisions>
    </reviewItem>
    <reviewItem>
      <errorID>4100e77f-b59e-43bb-bdef-f67caf2c5062</errorID>
      <errorWord>}</errorWord>
      <group>L1_Format</group>
      <groupName>格式问题</groupName>
      <ability>L2_HalfPunc</ability>
      <abilityName>全半角检查</abilityName>
      <candidateList>
        <item>｝</item>
      </candidateList>
      <explain>文本全半角错误。</explain>
      <paraID>11F8E865</paraID>
      <start>12</start>
      <end>13</end>
      <status>ignored</status>
      <modifiedWord/>
      <trackRevisions>false</trackRevisions>
    </reviewItem>
    <reviewItem>
      <errorID>ebdbebf9-b64d-4861-9693-e80bd47ddf67</errorID>
      <errorWord>{</errorWord>
      <group>L1_Format</group>
      <groupName>格式问题</groupName>
      <ability>L2_HalfPunc</ability>
      <abilityName>全半角检查</abilityName>
      <candidateList>
        <item>｛</item>
      </candidateList>
      <explain>文本全半角错误。</explain>
      <paraID>11F8E865</paraID>
      <start>15</start>
      <end>16</end>
      <status>ignored</status>
      <modifiedWord/>
      <trackRevisions>false</trackRevisions>
    </reviewItem>
    <reviewItem>
      <errorID>c8ac2f6d-913e-43d7-b97b-23b673db3339</errorID>
      <errorWord>{</errorWord>
      <group>L1_Format</group>
      <groupName>格式问题</groupName>
      <ability>L2_HalfPunc</ability>
      <abilityName>全半角检查</abilityName>
      <candidateList>
        <item>｛</item>
      </candidateList>
      <explain>文本全半角错误。</explain>
      <paraID>11F8E865</paraID>
      <start>16</start>
      <end>17</end>
      <status>ignored</status>
      <modifiedWord/>
      <trackRevisions>false</trackRevisions>
    </reviewItem>
    <reviewItem>
      <errorID>7c18a235-fd85-4f31-aeca-ac430fea0c85</errorID>
      <errorWord>}</errorWord>
      <group>L1_Format</group>
      <groupName>格式问题</groupName>
      <ability>L2_HalfPunc</ability>
      <abilityName>全半角检查</abilityName>
      <candidateList>
        <item>｝</item>
      </candidateList>
      <explain>文本全半角错误。</explain>
      <paraID>11F8E865</paraID>
      <start>21</start>
      <end>22</end>
      <status>ignored</status>
      <modifiedWord/>
      <trackRevisions>false</trackRevisions>
    </reviewItem>
    <reviewItem>
      <errorID>754790a0-0554-4041-9f38-2abf20e5a582</errorID>
      <errorWord>}</errorWord>
      <group>L1_Format</group>
      <groupName>格式问题</groupName>
      <ability>L2_HalfPunc</ability>
      <abilityName>全半角检查</abilityName>
      <candidateList>
        <item>｝</item>
      </candidateList>
      <explain>文本全半角错误。</explain>
      <paraID>11F8E865</paraID>
      <start>22</start>
      <end>23</end>
      <status>ignored</status>
      <modifiedWord/>
      <trackRevisions>false</trackRevisions>
    </reviewItem>
    <reviewItem>
      <errorID>acbe2943-efb2-4fe5-b309-726b6762eb61</errorID>
      <errorWord>提货</errorWord>
      <group>L1_Word</group>
      <groupName>字词问题</groupName>
      <ability>L2_Typo</ability>
      <abilityName>字词错误</abilityName>
      <candidateList>
        <item>货</item>
      </candidateList>
      <explain/>
      <paraID>19B53155</paraID>
      <start>3</start>
      <end>4</end>
      <status>modified</status>
      <modifiedWord>货</modifiedWord>
      <trackRevisions>false</trackRevisions>
    </reviewItem>
    <reviewItem>
      <errorID>c0cef401-8b31-4c1b-af15-56f4f52644d2</errorID>
      <errorWord>1、</errorWord>
      <group>L1_AI</group>
      <groupName>深度校对</groupName>
      <ability>L2_AI_Title</ability>
      <abilityName>标题检查</abilityName>
      <candidateList>
        <item>1. </item>
      </candidateList>
      <explain>标题顺序错误，请检查标题顺序是否合理。</explain>
      <paraID>162E87C6</paraID>
      <start>0</start>
      <end>3</end>
      <status>modified</status>
      <modifiedWord>1. </modifiedWord>
      <trackRevisions>false</trackRevisions>
    </reviewItem>
    <reviewItem>
      <errorID>2f9eee56-58c5-49f0-82f3-4dc8e2ec53e1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5446B7DE</paraID>
      <start>0</start>
      <end>2</end>
      <status>modified</status>
      <modifiedWord>2.</modifiedWord>
      <trackRevisions>false</trackRevisions>
    </reviewItem>
    <reviewItem>
      <errorID>b78045ca-ef7f-4112-9390-d5db558dc68a</errorID>
      <errorWord>就将</errorWord>
      <group>L1_Word</group>
      <groupName>字词问题</groupName>
      <ability>L2_Typo</ability>
      <abilityName>字词错误</abilityName>
      <candidateList>
        <item>就</item>
      </candidateList>
      <explain>〈连〉表示假设的让步，跟“就是”2相同：你～送来，我也不要。</explain>
      <paraID>5446B7DE</paraID>
      <start>27</start>
      <end>28</end>
      <status>modified</status>
      <modifiedWord>就</modifiedWord>
      <trackRevisions>false</trackRevisions>
    </reviewItem>
    <reviewItem>
      <errorID>a0d1d763-78e3-4ef5-9986-250134e70cce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14B8F9EC</paraID>
      <start>0</start>
      <end>2</end>
      <status>modified</status>
      <modifiedWord>3.</modifiedWord>
      <trackRevisions>false</trackRevisions>
    </reviewItem>
    <reviewItem>
      <errorID>a107e482-0df7-4b8f-8f9c-d16195e986ae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2377DFE</paraID>
      <start>0</start>
      <end>2</end>
      <status>modified</status>
      <modifiedWord>4.</modifiedWord>
      <trackRevisions>false</trackRevisions>
    </reviewItem>
    <reviewItem>
      <errorID>a550a7b3-a26c-4fc0-ad1e-2dbeb132dafe</errorID>
      <errorWord>就将</errorWord>
      <group>L1_Word</group>
      <groupName>字词问题</groupName>
      <ability>L2_Typo</ability>
      <abilityName>字词错误</abilityName>
      <candidateList>
        <item>就</item>
      </candidateList>
      <explain>〈连〉表示假设的让步，跟“就是”2相同：你～送来，我也不要。</explain>
      <paraID> 2377DFE</paraID>
      <start>87</start>
      <end>88</end>
      <status>modified</status>
      <modifiedWord>就</modifiedWord>
      <trackRevisions>false</trackRevisions>
    </reviewItem>
    <reviewItem>
      <errorID>fee6a66d-4f90-47ea-9d03-7725a1526142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3DC436D4</paraID>
      <start>0</start>
      <end>2</end>
      <status>modified</status>
      <modifiedWord>1.</modifiedWord>
      <trackRevisions>false</trackRevisions>
    </reviewItem>
    <reviewItem>
      <errorID>1a5cf302-2be0-4c5f-88aa-0863d702c9ea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F63FA66</paraID>
      <start>0</start>
      <end>2</end>
      <status>modified</status>
      <modifiedWord>2.</modifiedWord>
      <trackRevisions>false</trackRevisions>
    </reviewItem>
    <reviewItem>
      <errorID>7783fe39-675d-4c53-9343-f45a0f1dead5</errorID>
      <errorWord>并且</errorWord>
      <group>L1_Word</group>
      <groupName>字词问题</groupName>
      <ability>L2_Typo</ability>
      <abilityName>字词错误</abilityName>
      <candidateList>
        <item>并</item>
      </candidateList>
      <explain>（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explain>
      <paraID> F63FA66</paraID>
      <start>103</start>
      <end>104</end>
      <status>modified</status>
      <modifiedWord>并</modifiedWord>
      <trackRevisions>false</trackRevisions>
    </reviewItem>
    <reviewItem>
      <errorID>6539ef10-19bc-404d-b761-2965d38fef28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64EFF15D</paraID>
      <start>0</start>
      <end>2</end>
      <status>modified</status>
      <modifiedWord>3.</modifiedWord>
      <trackRevisions>false</trackRevisions>
    </reviewItem>
    <reviewItem>
      <errorID>1dd26250-9d64-4fc8-a5c8-e74c2cdd29aa</errorID>
      <errorWord>仲裁</errorWord>
      <group>L1_AI</group>
      <groupName>深度校对</groupName>
      <ability>L2_AI_Word</ability>
      <abilityName>字词纠错</abilityName>
      <candidateList>
        <item>诉讼</item>
      </candidateList>
      <explain/>
      <paraID>5EB34D68</paraID>
      <start>79</start>
      <end>81</end>
      <status>modified</status>
      <modifiedWord>诉讼</modifiedWord>
      <trackRevisions>false</trackRevisions>
    </reviewItem>
    <reviewItem>
      <errorID>0070fb4c-57bd-4462-a0c8-5768484c0814</errorID>
      <errorWord>一式贰份</errorWord>
      <group>L1_AI</group>
      <groupName>深度校对</groupName>
      <ability>L2_AI_Word</ability>
      <abilityName>字词纠错</abilityName>
      <candidateList>
        <item>一式两份</item>
      </candidateList>
      <explain/>
      <paraID>33BA9979</paraID>
      <start>3</start>
      <end>7</end>
      <status>modified</status>
      <modifiedWord>一式两份</modifiedWord>
      <trackRevisions>false</trackRevisions>
    </reviewItem>
    <reviewItem>
      <errorID>8c3b2792-7aab-47bd-8387-be92a17995c7</errorID>
      <errorWord>正式起效</errorWord>
      <group>L1_AI</group>
      <groupName>深度校对</groupName>
      <ability>L2_AI_Grammar</ability>
      <abilityName>语法纠错</abilityName>
      <candidateList>
        <item>生效</item>
      </candidateList>
      <explain/>
      <paraID>33BA9979</paraID>
      <start>23</start>
      <end>25</end>
      <status>modified</status>
      <modifiedWord>生效</modifiedWord>
      <trackRevisions>false</trackRevisions>
    </reviewItem>
    <reviewItem>
      <errorID>8a8c87af-718e-4a78-bea9-0a7284c570b9</errorID>
      <errorWord>{</errorWord>
      <group>L1_Format</group>
      <groupName>格式问题</groupName>
      <ability>L2_HalfPunc</ability>
      <abilityName>全半角检查</abilityName>
      <candidateList>
        <item>｛</item>
      </candidateList>
      <explain>文本全半角错误。</explain>
      <paraID>10542A81</paraID>
      <start>1</start>
      <end>2</end>
      <status>ignored</status>
      <modifiedWord/>
      <trackRevisions>false</trackRevisions>
    </reviewItem>
    <reviewItem>
      <errorID>90d35ffd-3fe9-4aee-9a64-59f490f7eff1</errorID>
      <errorWord>}</errorWord>
      <group>L1_Format</group>
      <groupName>格式问题</groupName>
      <ability>L2_HalfPunc</ability>
      <abilityName>全半角检查</abilityName>
      <candidateList>
        <item>｝</item>
      </candidateList>
      <explain>文本全半角错误。</explain>
      <paraID>10542A81</paraID>
      <start>6</start>
      <end>7</end>
      <status>ignored</status>
      <modifiedWord/>
      <trackRevisions>false</trackRevisions>
    </reviewItem>
  </reviewItems>
  <config/>
</contractReview>
</file>

<file path=customXml/itemProps1.xml><?xml version="1.0" encoding="utf-8"?>
<ds:datastoreItem xmlns:ds="http://schemas.openxmlformats.org/officeDocument/2006/customXml" ds:itemID="{d3974f48-9e13-4ff5-9f76-c8a973756e21}">
  <ds:schemaRefs/>
</ds:datastoreItem>
</file>

<file path=docProps/app.xml><?xml version="1.0" encoding="utf-8"?>
<Properties xmlns="http://schemas.openxmlformats.org/officeDocument/2006/extended-properties" xmlns:vt="http://schemas.openxmlformats.org/officeDocument/2006/docPropsVTypes">
  <Pages>3</Pages>
  <Words>1674</Words>
  <Characters>1691</Characters>
  <TotalTime>4</TotalTime>
  <ScaleCrop>false</ScaleCrop>
  <LinksUpToDate>false</LinksUpToDate>
  <CharactersWithSpaces>1845</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2026-03-10T07:56:00Z</dcterms:created>
  <dc:creator>Un-named</dc:creator>
  <cp:lastModifiedBy>少爷仔</cp:lastModifiedBy>
  <dcterms:modified xsi:type="dcterms:W3CDTF">2026-04-08T03:37:28Z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F8A2D28335334A07BF57472D9283BD80_13</vt:lpwstr>
  </property>
  <property fmtid="{D5CDD505-2E9C-101B-9397-08002B2CF9AE}" pid="4" name="KSOTemplateDocerSaveRecord">
    <vt:lpwstr>eyJoZGlkIjoiODRmMzQ5ZjRmMmEzZTk4ZTFmMzFmOGRmMDM4YjE5ZjEiLCJ1c2VySWQiOiIxMDIzNzUwNzA0In0=</vt:lpwstr>
  </property>
</Properties>
</file>