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Обновления Короб ВМС</w:t>
      </w:r>
    </w:p>
    <w:p>
      <w:pPr>
        <w:pStyle w:val="Subtitle"/>
      </w:pPr>
      <w:r>
        <w:t>3–9 сентября 2026</w:t>
      </w:r>
    </w:p>
    <w:p>
      <w:r>
        <w:t>За неделю расширили возможности пересчёта товаров, работы с WB и Ozon, приёмки и расчётов с селлерами. Собрали главное, чем уже можно пользоваться в ежедневной работе склада.</w:t>
      </w:r>
    </w:p>
    <w:p>
      <w:pPr>
        <w:pStyle w:val="Heading1"/>
      </w:pPr>
      <w:r>
        <w:t>Инвентаризация под конкретную задачу</w:t>
      </w:r>
    </w:p>
    <w:p>
      <w:r>
        <w:t>Теперь можно создать пересчёт одного товара или нескольких выбранных позиций. Во время инвентаризации можно указать ячейку или короб и добавить найденный товар из каталога с фактическим количеством, даже если штрихкод отсутствует или стёрся. Это удобно для проверки отдельных расхождений без пересчёта всего склада.</w:t>
      </w:r>
    </w:p>
    <w:p>
      <w:pPr>
        <w:pStyle w:val="Heading1"/>
      </w:pPr>
      <w:r>
        <w:t>Общий каталог WB и Ozon</w:t>
      </w:r>
    </w:p>
    <w:p>
      <w:r>
        <w:t>Карточки Ozon загружаются после подключения кабинета и связываются с существующими товарами при однозначном совпадении. Две карточки одного товара также можно объединить вручную. В каталоге видны связанные площадки и фотографии товаров. Каталог подключённого кабинета Wildberries автоматически обновляется каждый час.</w:t>
      </w:r>
    </w:p>
    <w:p>
      <w:pPr>
        <w:pStyle w:val="Heading1"/>
      </w:pPr>
      <w:r>
        <w:t>Раздельная передача остатков</w:t>
      </w:r>
    </w:p>
    <w:p>
      <w:r>
        <w:t>Передачу остатков на Wildberries и Ozon можно включать независимо для каждого товара. Доступное количество распределяется по складам площадок с учётом общего свободного остатка. Например, можно передавать товар только на Ozon, сохранив выключенную передачу на WB, или распределить остаток между обеими площадками.</w:t>
      </w:r>
    </w:p>
    <w:p>
      <w:pPr>
        <w:pStyle w:val="Heading1"/>
      </w:pPr>
      <w:r>
        <w:t>Подбор и упаковка ФБС</w:t>
      </w:r>
    </w:p>
    <w:p>
      <w:r>
        <w:t>Заказ или поставку можно найти по номеру. В документе доступна история поставки, а на упаковке — печать этикеток только выбранных заказов. Заказы Ozon доступны в общем процессе ФБС: разные позиции заказа можно разложить по коробам, сохраняя каждую позицию целиком, и сканировать ЧЗ на упаковке. Подтверждение маркировки площадкой отображается отдельно от сохранения кода.</w:t>
      </w:r>
    </w:p>
    <w:p>
      <w:r>
        <w:br w:type="page"/>
      </w:r>
    </w:p>
    <w:p>
      <w:pPr>
        <w:pStyle w:val="Title"/>
      </w:pPr>
      <w:r>
        <w:t>Приёмка и расчёты</w:t>
      </w:r>
    </w:p>
    <w:p>
      <w:pPr>
        <w:pStyle w:val="Subtitle"/>
      </w:pPr>
      <w:r>
        <w:t>Короб ВМС  •  3–9 сентября 2026</w:t>
      </w:r>
    </w:p>
    <w:p>
      <w:pPr>
        <w:pStyle w:val="Heading1"/>
      </w:pPr>
      <w:r>
        <w:t>Коды ЧЗ в документе приёмки</w:t>
      </w:r>
    </w:p>
    <w:p>
      <w:r>
        <w:t>После сканирования товара можно сразу отсканировать его код Честного знака. Коды сохраняются под строкой товара в раскрывающемся списке; количество принятых штук от сканирования ЧЗ не увеличивается. Проблемные и непроверенные коды можно выгрузить в Excel вместе с артикулами и причинами.</w:t>
      </w:r>
    </w:p>
    <w:p>
      <w:pPr>
        <w:spacing w:before="40"/>
      </w:pPr>
      <w:r>
        <w:rPr>
          <w:color w:val="505060"/>
          <w:sz w:val="21"/>
        </w:rPr>
        <w:t>Сохранение кодов и Excel доступны. Проверка статуса через внешний сервис ЧЗ сейчас недоступна.</w:t>
      </w:r>
    </w:p>
    <w:p>
      <w:pPr>
        <w:pStyle w:val="Heading1"/>
      </w:pPr>
      <w:r>
        <w:t>Отчёты и выставление счетов</w:t>
      </w:r>
    </w:p>
    <w:p>
      <w:r>
        <w:t>В расчётах за выбранный период ФБС учитывается по товарам из успешно переданных поставок и по дате передачи. Упаковка считается по отгруженным штукам ФБС и ФБО. Из отчёта можно выбрать выполненные работы и собрать по ним счёт.</w:t>
      </w:r>
    </w:p>
    <w:p>
      <w:r>
        <w:t>В счёт можно добавить свою строку услуги, а в предпросмотре — вручную изменить итоговую сумму. Исходный расчёт сохраняется, разница отражается отдельной ручной корректировкой. Если ставка не задана, система показывает это явно и позволяет указать итог вручную. Сохранённый счёт доступен в списке выставленных счетов и для печати.</w:t>
      </w:r>
    </w:p>
    <w:p>
      <w:pPr>
        <w:pStyle w:val="Heading1"/>
      </w:pPr>
      <w:r>
        <w:t>Приглашения и восстановление доступа</w:t>
      </w:r>
    </w:p>
    <w:p>
      <w:r>
        <w:t>Для новых пользователей предусмотрено приглашение по электронной почте с установкой своего пароля. Приглашение можно отправить повторно. Если пароль забыт, запросить ссылку для восстановления можно прямо на странице входа.</w:t>
      </w:r>
    </w:p>
    <w:p>
      <w:pPr>
        <w:pStyle w:val="Heading1"/>
      </w:pPr>
      <w:r>
        <w:t>Обновлённая база знаний</w:t>
      </w:r>
    </w:p>
    <w:p>
      <w:r>
        <w:t>Инструкции по складским процессам дополнены пошаговыми объяснениями, изображениями экранов и разбором частых ошибок. Например, в статье о приёмке разобран путь от создания документа до завершения работы. Нужную подсказку можно найти поиском по тексту статей.</w:t>
      </w:r>
    </w:p>
    <w:sectPr w:rsidR="00FC693F" w:rsidRPr="0006063C" w:rsidSect="00034616">
      <w:footerReference w:type="default" r:id="rId9"/>
      <w:pgSz w:w="12240" w:h="15840"/>
      <w:pgMar w:top="979" w:right="1181" w:bottom="950" w:left="1181" w:header="72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504" w:val="right"/>
      </w:tabs>
      <w:spacing w:after="0"/>
    </w:pPr>
    <w:r>
      <w:rPr>
        <w:rFonts w:ascii="Arial" w:hAnsi="Arial"/>
        <w:color w:val="666672"/>
        <w:sz w:val="18"/>
      </w:rPr>
      <w:t>Короб ВМС   /   Обновления за неделю</w:t>
      <w:tab/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1" w:lineRule="auto" w:after="140"/>
    </w:pPr>
    <w:rPr>
      <w:rFonts w:ascii="Arial" w:hAnsi="Arial" w:eastAsia="Arial"/>
      <w:color w:val="000000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40" w:after="12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52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340"/>
    </w:pPr>
    <w:rPr>
      <w:rFonts w:asciiTheme="majorHAnsi" w:eastAsiaTheme="majorEastAsia" w:hAnsiTheme="majorHAnsi" w:cstheme="majorBidi" w:ascii="Arial" w:hAnsi="Arial" w:eastAsia="Arial"/>
      <w:i w:val="0"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Обновления Короб ВМС</dc:title>
  <dc:subject>Новые возможности для селлеров и фулфилментов</dc:subject>
  <dc:creator>Короб ВМС</dc:creator>
  <cp:keywords>WMS-411, обновления, сентябрь 2026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