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Тарифы и расчёты</w:t>
      </w:r>
    </w:p>
    <w:p>
      <w:pPr>
        <w:spacing w:after="280"/>
      </w:pPr>
      <w:r>
        <w:rPr>
          <w:color w:val="5A6478"/>
          <w:sz w:val="20"/>
        </w:rPr>
        <w:t>Как посмотреть начисления за работу склада по каждому селлеру, отличить «Не тарифицируется» от «Нет ставки», проверить расчёт хранения по литр-дню и выставить счёт.</w:t>
      </w:r>
    </w:p>
    <w:p>
      <w:pPr>
        <w:spacing w:after="240"/>
      </w:pPr>
      <w:r>
        <w:rPr>
          <w:i/>
          <w:color w:val="697082"/>
          <w:sz w:val="16"/>
        </w:rPr>
        <w:t>Источник: frontend/src/content/knowledge/08-tarify-raschety.md</w:t>
      </w:r>
    </w:p>
    <w:p>
      <w:pPr>
        <w:pStyle w:val="Heading2"/>
      </w:pPr>
      <w:r>
        <w:t>Зачем это нужно</w:t>
      </w:r>
    </w:p>
    <w:p>
      <w:r>
        <w:t xml:space="preserve">Раздел «Расчёты» отвечает на один вопрос: сколько склад наработал за выбранный период по каждому селлеру и на какую сумму ему выставлять счёт. Тут всё держится на трёх словах. </w:t>
      </w:r>
      <w:r>
        <w:rPr>
          <w:b/>
        </w:rPr>
        <w:t>Ставка</w:t>
      </w:r>
      <w:r>
        <w:t xml:space="preserve"> (её же называют тарифом) — цена одной единицы услуги: рубли за штуку принятого или отгруженного товара, за литр-день хранения. </w:t>
      </w:r>
      <w:r>
        <w:rPr>
          <w:b/>
        </w:rPr>
        <w:t>Начисление</w:t>
      </w:r>
      <w:r>
        <w:t xml:space="preserve"> — запись «по этому документу селлеру насчитано столько-то»; она появляется в момент, когда операция завершена, и запоминает ту ставку, которая действовала именно тогда. </w:t>
      </w:r>
      <w:r>
        <w:rPr>
          <w:b/>
        </w:rPr>
        <w:t>Счёт</w:t>
      </w:r>
      <w:r>
        <w:t xml:space="preserve"> — документ на оплату, собранный из начислений за период. Считаем в рублях, сутки и даты московские, НДС в этой версии продукта не считается вовсе.</w:t>
      </w:r>
    </w:p>
    <w:p>
      <w:r>
        <w:t>Важно понимать, что «Расчёты» ничего не придумывают. Они показывают уже записанные факты работы склада — приёмки, отгрузки, упаковки, возвраты — плюс хранение, посчитанное по остаткам за те же дни. Поэтому дыры в тарифах видно прямо здесь, в двух колонках-счётчиках, и закрывать их нужно до того, как счёт уйдёт селлеру: документ, у которого нет суммы, в счёт не попадёт, и склад просто не получит за него деньги. И наоборот — ставка, заведённая сегодня, не пересчитает вчерашние начисления: они уже записаны с той ценой, которая была на момент операции.</w:t>
      </w:r>
    </w:p>
    <w:p>
      <w:pPr>
        <w:pStyle w:val="Heading2"/>
      </w:pPr>
      <w:r>
        <w:t>Шаг 1. Открыть «Расчёты» и задать период</w:t>
      </w:r>
    </w:p>
    <w:p>
      <w:r>
        <w:t>Экран показывает уже записанные факты работы склада за выбранные даты. Ничего не досчитывается задним числом — поэтому сначала период, потом всё остальное.</w:t>
      </w:r>
    </w:p>
    <w:p>
      <w:r>
        <w:t xml:space="preserve">Откройте в левом меню пункт </w:t>
      </w:r>
      <w:r>
        <w:rPr>
          <w:b/>
        </w:rPr>
        <w:t>«Расчёты»</w:t>
      </w:r>
      <w:r>
        <w:t>. Экран называется «Расчёты», подзаголовок — «Начисления за работу склада и счета селлерам за выбранный период». Пункт меню и сам экран доступны только администратору фулфилмента: если пункта нет, это права, а не поломка.</w:t>
      </w:r>
    </w:p>
    <w:p>
      <w:r>
        <w:t xml:space="preserve">Убедитесь, что вы на вкладке </w:t>
      </w:r>
      <w:r>
        <w:rPr>
          <w:b/>
        </w:rPr>
        <w:t>«Селлеры»</w:t>
      </w:r>
      <w:r>
        <w:t xml:space="preserve"> — на ней живут начисления. Соседняя вкладка </w:t>
      </w:r>
      <w:r>
        <w:rPr>
          <w:b/>
        </w:rPr>
        <w:t>«Выставленные счета»</w:t>
      </w:r>
      <w:r>
        <w:t xml:space="preserve"> — это история уже выписанных счетов, к ней вернёмся в конце.</w:t>
      </w:r>
    </w:p>
    <w:p>
      <w:r>
        <w:t xml:space="preserve">Задайте «Период» в полях «с» и «по» либо нажмите готовую кнопку: </w:t>
      </w:r>
      <w:r>
        <w:rPr>
          <w:b/>
        </w:rPr>
        <w:t>«Сегодня»</w:t>
      </w:r>
      <w:r>
        <w:t xml:space="preserve">, </w:t>
      </w:r>
      <w:r>
        <w:rPr>
          <w:b/>
        </w:rPr>
        <w:t>«7 дней»</w:t>
      </w:r>
      <w:r>
        <w:t xml:space="preserve">, </w:t>
      </w:r>
      <w:r>
        <w:rPr>
          <w:b/>
        </w:rPr>
        <w:t>«30 дней»</w:t>
      </w:r>
      <w:r>
        <w:t xml:space="preserve">, </w:t>
      </w:r>
      <w:r>
        <w:rPr>
          <w:b/>
        </w:rPr>
        <w:t>«Этот месяц»</w:t>
      </w:r>
      <w:r>
        <w:t xml:space="preserve"> или </w:t>
      </w:r>
      <w:r>
        <w:rPr>
          <w:b/>
        </w:rPr>
        <w:t>«Прошлый месяц»</w:t>
      </w:r>
      <w:r>
        <w:t>. «7 дней» и «30 дней» считаются включительно с сегодняшним днём, «Прошлый месяц» берёт прошлый календарный месяц целиком. Будущие даты не принимаются, а период длиннее 366 дней подсвечивается ошибкой «Период превышает допустимую длину».</w:t>
      </w:r>
    </w:p>
    <w:p>
      <w:r>
        <w:t xml:space="preserve">Включите переключатель </w:t>
      </w:r>
      <w:r>
        <w:rPr>
          <w:b/>
        </w:rPr>
        <w:t>«Финансы»</w:t>
      </w:r>
      <w:r>
        <w:t xml:space="preserve">, если работаете с деньгами. Без него экран показывает только натуральные показатели — документы и штуки. С ним появляются колонка «Стоимость услуг», колонка «Нет ставки», ставки и суммы внутри раскрывашки и кнопка </w:t>
      </w:r>
      <w:r>
        <w:rPr>
          <w:b/>
        </w:rPr>
        <w:t>«Выставить счёт»</w:t>
      </w:r>
      <w:r>
        <w:t>. Положение переключателя запоминается в браузере под вашей учётной записью, так что в следующий раз экран откроется в том же виде.</w:t>
      </w:r>
    </w:p>
    <w:p>
      <w:r>
        <w:t>При необходимости сузьте список выпадающим «Селлер» — по умолчанию там «Все селлеры».</w:t>
      </w:r>
    </w:p>
    <w:p>
      <w:r>
        <w:t>Посмотрите на плитки над таблицей: «Селлеров», «Документов», «Штук» и, при включённых «Финансах», «Стоимость услуг». Это итог по всему, что попало в период, а не по одной строке.</w:t>
      </w:r>
    </w:p>
    <w:p>
      <w:pPr>
        <w:pStyle w:val="Heading2"/>
      </w:pPr>
      <w:r>
        <w:t>Шаг 2. Прочитать таблицу и две колонки-счётчика</w:t>
      </w:r>
    </w:p>
    <w:p>
      <w:r>
        <w:t>Здесь прячется главная ошибка раздела: «Не тарифицируется» и «Нет ставки» выглядят похоже, а означают прямо противоположное.</w:t>
      </w:r>
    </w:p>
    <w:p>
      <w:r>
        <w:t>Прочитайте таблицу: «Селлер», «Документов», «Штук», «Стоимость услуг», «Не тарифицируется», «Нет ставки». «Стоимость услуг» — это сумма начислений за период за вычетом сторно (сторно — отменяющая запись с минусовой суммой, она появляется, когда операцию откатили). Строки, у которых суммы нет, в эту цифру не входят вообще.</w:t>
      </w:r>
    </w:p>
    <w:p>
      <w:r>
        <w:t xml:space="preserve">Разберитесь с колонкой </w:t>
      </w:r>
      <w:r>
        <w:rPr>
          <w:b/>
        </w:rPr>
        <w:t>«Не тарифицируется»</w:t>
      </w:r>
      <w:r>
        <w:t>. В неё попадают документы, у которых в системе не проставлена платная услуга: работа склада зафиксирована, но превращать её в деньги система не должна. Это свойство самого документа, а не настроек: сколько ставок ни заводи, счётчик не изменится и сумма не появится. В раскрывашке такая строка помечена нейтральным (фиолетовым) ярлыком «Не тарифицируется», а галочка выбора у неё погашена с подсказкой «Документ не тарифицируется».</w:t>
      </w:r>
    </w:p>
    <w:p>
      <w:r>
        <w:t xml:space="preserve">Теперь колонка </w:t>
      </w:r>
      <w:r>
        <w:rPr>
          <w:b/>
        </w:rPr>
        <w:t>«Нет ставки»</w:t>
      </w:r>
      <w:r>
        <w:t xml:space="preserve"> — она появляется только вместе с «Финансами» и означает совсем другое. Услуга у документа есть, деньги за неё брать положено, но суммы нет: либо к документу вообще не привязалось начисление, либо начисление есть, а денег в нём нет — на дату операции не действовала ни одна подходящая ставка. Это чинится тарифом, и чинить нужно: такие строки не входят в «Стоимость услуг» и в счёт их не включить. В раскрывашке у них жёлтый ярлык «Нет ставки», а подсказка у галочки прямо говорит: «Нет ставки — задайте тариф в настройках».</w:t>
      </w:r>
    </w:p>
    <w:p>
      <w:pPr>
        <w:pStyle w:val="Heading2"/>
      </w:pPr>
      <w:r>
        <w:t>Шаг 3. Раскрыть селлера и разобрать документы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97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schety-01-nachisleniy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A6478"/>
          <w:sz w:val="16"/>
        </w:rPr>
        <w:t>Начисления за период: 1 — пункт меню «Расчёты», 2 — дерево «селлер → услуга → документ». Ярлыки «Ставка не задана» и «Документ без товаров» — это те самые строки, которые в счёт не попадут</w:t>
      </w:r>
    </w:p>
    <w:p>
      <w:r>
        <w:t>В раскрывашке видно, из чего сложилась сумма, и откуда взялась каждая строка: ссылка «Открыть» ведёт в исходный документ.</w:t>
      </w:r>
    </w:p>
    <w:p>
      <w:r>
        <w:t xml:space="preserve">Раскройте строку селлера стрелкой слева — под ней откроется список документов за период: «Дата», «Документ», «Услуга», «Количество», «Результат», а при включённых «Финансах» ещё «Ставка», «Сумма» и «Счёт выставлялся»; крайняя правая колонка — «Источник». В колонке «Результат» бывает четыре значения: «Выполнено», «Сторно», «Не тарифицируется» и «Нет ставки». Ссылка </w:t>
      </w:r>
      <w:r>
        <w:rPr>
          <w:b/>
        </w:rPr>
        <w:t>«Открыть»</w:t>
      </w:r>
      <w:r>
        <w:t xml:space="preserve"> в колонке «Источник» ведёт в исходный документ — приёмку или отгрузку. Показывается по 50 документов; если их больше, внизу появится кнопка </w:t>
      </w:r>
      <w:r>
        <w:rPr>
          <w:b/>
        </w:rPr>
        <w:t>«Загрузить ещё»</w:t>
      </w:r>
      <w:r>
        <w:t>.</w:t>
      </w:r>
    </w:p>
    <w:p>
      <w:r>
        <w:t>Обратите внимание на первую строку раскрывашки — строку хранения. У неё в колонке «Документ» написано «За период», услуга — «Хранение», количество — число с подписью «л·дн» (литро-дни), а результат — «Рассчитано» или «Нет габаритов». Это не документ склада, а расчёт за весь выбранный период, который система делает заново каждый раз, когда вы открываете строку.</w:t>
      </w:r>
    </w:p>
    <w:p>
      <w:pPr>
        <w:pStyle w:val="Heading2"/>
      </w:pPr>
      <w:r>
        <w:t>Шаг 4. Понять, как считается хранение</w:t>
      </w:r>
    </w:p>
    <w:p>
      <w:r>
        <w:t>Хранение — единственная строка, которую считают не по документу, а по времени: сколько объёма и сколько суток пролежало на складе.</w:t>
      </w:r>
    </w:p>
    <w:p>
      <w:r>
        <w:t xml:space="preserve">Поймите, как считается хранение. Мера — </w:t>
      </w:r>
      <w:r>
        <w:rPr>
          <w:b/>
        </w:rPr>
        <w:t>литр-день</w:t>
      </w:r>
      <w:r>
        <w:t>: один литр объёма, пролежавший на складе одни сутки. Объём одной штуки берётся из габаритов товара (длина × ширина × высота; на экране «Хранение» при вводе в сантиметрах объём считается как Д × Ш × В ÷ 1000) либо из объёма тары, если габариты товара мерить нечем. Дальше система идёт по истории движений остатка: сколько штук лежало, столько времени они лежали. Пример: 10 штук по 6 литров пролежали ровно трое суток — это 10 × 6 × 3 = 180 литро-дней; при ставке 0,50 ₽ за литр-день выйдет 90 ₽. Сутки считаются по-московски, время учитывается дробно (товар, приехавший в обед, даёт полдня, а не целый), и на каждый день берётся та ставка, которая действовала в этот день.</w:t>
      </w:r>
    </w:p>
    <w:p>
      <w:r>
        <w:t xml:space="preserve">Ставку хранения задают в разделе </w:t>
      </w:r>
      <w:r>
        <w:rPr>
          <w:b/>
        </w:rPr>
        <w:t>«Хранение»</w:t>
      </w:r>
      <w:r>
        <w:t xml:space="preserve"> кнопкой </w:t>
      </w:r>
      <w:r>
        <w:rPr>
          <w:b/>
        </w:rPr>
        <w:t>«Задать тариф»</w:t>
      </w:r>
      <w:r>
        <w:t xml:space="preserve"> (если тарифа ещё нет) или </w:t>
      </w:r>
      <w:r>
        <w:rPr>
          <w:b/>
        </w:rPr>
        <w:t>«Изменить тариф»</w:t>
      </w:r>
      <w:r>
        <w:t>. В окне «Тариф хранения» заполняются «Ставка, ₽/л·день» и «Дата начала», причём дата не может быть в прошлом, а ставка меньше копейки не сохранится — экран скажет «Минимальная сохраняемая ставка — 0,01 ₽/л·день». Там же раскрывается блок «Индивидуальная ставка селлера» — своя цена для одного селлера, она перебивает общую. Кнопка видна только администратору фулфилмента, а сохранённая ставка попадает в ту же матрицу тарифов, из которой считаются «Расчёты».</w:t>
      </w:r>
    </w:p>
    <w:p>
      <w:pPr>
        <w:pStyle w:val="Heading2"/>
      </w:pPr>
      <w:r>
        <w:t>Шаг 5. Задать ставки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292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schety-02-tarif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A6478"/>
          <w:sz w:val="16"/>
        </w:rPr>
        <w:t>Тарифы в разделе «Настройки»: 1 — пункт меню «Настройки», 2 — общая ставка услуги «Приёмка», 3 — блок «Ставки сотрудников» — это оплата труда, а не цена для селлера</w:t>
      </w:r>
    </w:p>
    <w:p>
      <w:r>
        <w:t>Ставка, заведённая сегодня, не пересчитает вчерашние начисления: они уже записаны с той ценой, которая действовала на момент операции. Поэтому дыры закрывают до конца периода, а не после.</w:t>
      </w:r>
    </w:p>
    <w:p>
      <w:r>
        <w:t xml:space="preserve">Ставки по остальным услугам и все персональные ставки селлеров живут в разделе </w:t>
      </w:r>
      <w:r>
        <w:rPr>
          <w:b/>
        </w:rPr>
        <w:t>«Настройки»</w:t>
      </w:r>
      <w:r>
        <w:t xml:space="preserve">, в блоке «Тарифы» внизу экрана (тоже только для администратора фулфилмента). Верхняя таблица — общие ставки: «Услуга», «Ставка, ₽», «Действует с», «Цен на товары» (сколько персональных цен на конкретные товары заведено по этой услуге), «Состояние» и кнопка </w:t>
      </w:r>
      <w:r>
        <w:rPr>
          <w:b/>
        </w:rPr>
        <w:t>«Выключить»</w:t>
      </w:r>
      <w:r>
        <w:t xml:space="preserve"> / </w:t>
      </w:r>
      <w:r>
        <w:rPr>
          <w:b/>
        </w:rPr>
        <w:t>«Включить»</w:t>
      </w:r>
      <w:r>
        <w:t>. Ставка задаётся в рублях, не больше 21 474 836,47 ₽ и с двумя знаками после запятой.</w:t>
      </w:r>
    </w:p>
    <w:p>
      <w:r>
        <w:t xml:space="preserve">Чтобы завести цену конкретному селлеру, откройте в том же блоке «Ставки селлеров», раскройте нужного селлера и заполните форму: «На что» («Все товары» — это ставка самого селлера, либо конкретный товар — цена на товар), «Услуга», «Ставка, ₽», «Действует с», затем </w:t>
      </w:r>
      <w:r>
        <w:rPr>
          <w:b/>
        </w:rPr>
        <w:t>«Добавить»</w:t>
      </w:r>
      <w:r>
        <w:t xml:space="preserve">. Приоритет при расчёте такой: цена товара перебивает ставку селлера, ставка селлера перебивает общую; у кого своей нет, тот считается по общей — заводить её отдельно не нужно. В списке ставок селлера действующая помечена ярлыком «✓ Действует», остальные строки — это история и будущие версии, которые ещё не вступили в силу. Всё, что вы поменяли в блоке «Тарифы», сохраняется одной кнопкой </w:t>
      </w:r>
      <w:r>
        <w:rPr>
          <w:b/>
        </w:rPr>
        <w:t>«Сохранить матрицу»</w:t>
      </w:r>
      <w:r>
        <w:t>.</w:t>
      </w:r>
    </w:p>
    <w:p>
      <w:pPr>
        <w:pStyle w:val="Heading2"/>
      </w:pPr>
      <w:r>
        <w:t>Шаг 6. Собрать и выставить счёт</w:t>
      </w:r>
    </w:p>
    <w:p>
      <w:r>
        <w:t xml:space="preserve">Вернитесь в «Расчёты», раскройте селлера при включённых «Финансах», отметьте галочками нужные строки (и строку хранения, если её тоже включаете в счёт) и нажмите </w:t>
      </w:r>
      <w:r>
        <w:rPr>
          <w:b/>
        </w:rPr>
        <w:t>«Выставить счёт»</w:t>
      </w:r>
      <w:r>
        <w:t xml:space="preserve">. Откроется «Предпросмотр счёта»: строки сгруппированы по услугам, хранение идёт отдельной строкой «Хранение товара за выбранный период», внизу «Итого». Пока вы не нажали </w:t>
      </w:r>
      <w:r>
        <w:rPr>
          <w:b/>
        </w:rPr>
        <w:t>«Сохранить»</w:t>
      </w:r>
      <w:r>
        <w:t>, счёта не существует — предпросмотр показывает ровно тот документ, который будет сохранён.</w:t>
      </w:r>
    </w:p>
    <w:p>
      <w:r>
        <w:t xml:space="preserve">Если галочек не поставить, та же кнопка </w:t>
      </w:r>
      <w:r>
        <w:rPr>
          <w:b/>
        </w:rPr>
        <w:t>«Выставить счёт»</w:t>
      </w:r>
      <w:r>
        <w:t xml:space="preserve"> откроет окно «Ручной счёт»: выбираете «Плательщик», заполняете строки «Услуга» и «Сумма» (до десяти строк, кнопка </w:t>
      </w:r>
      <w:r>
        <w:rPr>
          <w:b/>
        </w:rPr>
        <w:t>«Добавить строку»</w:t>
      </w:r>
      <w:r>
        <w:t xml:space="preserve">) и жмёте </w:t>
      </w:r>
      <w:r>
        <w:rPr>
          <w:b/>
        </w:rPr>
        <w:t>«Предпросмотр»</w:t>
      </w:r>
      <w:r>
        <w:t>. Помните предупреждение в самом окне: ручной счёт не отмечает складские операции выставленными, связи с ними у него нет.</w:t>
      </w:r>
    </w:p>
    <w:p>
      <w:r>
        <w:t xml:space="preserve">После </w:t>
      </w:r>
      <w:r>
        <w:rPr>
          <w:b/>
        </w:rPr>
        <w:t>«Сохранить»</w:t>
      </w:r>
      <w:r>
        <w:t xml:space="preserve"> в заголовке окна появятся номер счёта и слово «выставлен», а сам счёт встанет на вкладку </w:t>
      </w:r>
      <w:r>
        <w:rPr>
          <w:b/>
        </w:rPr>
        <w:t>«Выставленные счета»</w:t>
      </w:r>
      <w:r>
        <w:t xml:space="preserve"> — там он ищется по номеру, фильтруется по селлеру и статусу, а в карточке видно «Получатель», «Плательщик», строки и итог. Оттуда же его печатают кнопкой </w:t>
      </w:r>
      <w:r>
        <w:rPr>
          <w:b/>
        </w:rPr>
        <w:t>«Печать счёт»</w:t>
      </w:r>
      <w:r>
        <w:t xml:space="preserve"> и, если ошиблись, отменяют кнопкой </w:t>
      </w:r>
      <w:r>
        <w:rPr>
          <w:b/>
        </w:rPr>
        <w:t>«Отменить счёт»</w:t>
      </w:r>
      <w:r>
        <w:t xml:space="preserve"> с подтверждением. Отмена необратима: счёт останется в истории со статусом «Отменён».</w:t>
      </w:r>
    </w:p>
    <w:p>
      <w:r>
        <w:t>Какие услуги вообще тарифицируются и в чём меряются, удобно держать в голове одной таблицей: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EDE8F8"/>
          </w:tcPr>
          <w:p>
            <w:pPr>
              <w:spacing w:after="20" w:line="240" w:lineRule="auto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Услуга</w:t>
            </w:r>
          </w:p>
        </w:tc>
        <w:tc>
          <w:tcPr>
            <w:tcW w:type="dxa" w:w="3389"/>
            <w:vAlign w:val="center"/>
            <w:shd w:fill="EDE8F8"/>
          </w:tcPr>
          <w:p>
            <w:pPr>
              <w:spacing w:after="20" w:line="240" w:lineRule="auto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Единица</w:t>
            </w:r>
          </w:p>
        </w:tc>
        <w:tc>
          <w:tcPr>
            <w:tcW w:type="dxa" w:w="3389"/>
            <w:vAlign w:val="center"/>
            <w:shd w:fill="EDE8F8"/>
          </w:tcPr>
          <w:p>
            <w:pPr>
              <w:spacing w:after="20" w:line="240" w:lineRule="auto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Где задаётся ставка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 w:line="240" w:lineRule="auto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Приёмка</w:t>
            </w:r>
          </w:p>
        </w:tc>
        <w:tc>
          <w:tcPr>
            <w:tcW w:type="dxa" w:w="3389"/>
            <w:vAlign w:val="center"/>
          </w:tcPr>
          <w:p>
            <w:pPr>
              <w:spacing w:after="20" w:line="240" w:lineRule="auto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За единицу</w:t>
            </w:r>
          </w:p>
        </w:tc>
        <w:tc>
          <w:tcPr>
            <w:tcW w:type="dxa" w:w="3389"/>
            <w:vAlign w:val="center"/>
          </w:tcPr>
          <w:p>
            <w:pPr>
              <w:spacing w:after="20" w:line="240" w:lineRule="auto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Настройки, блок «Тарифы»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 w:line="240" w:lineRule="auto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Отгрузка</w:t>
            </w:r>
          </w:p>
        </w:tc>
        <w:tc>
          <w:tcPr>
            <w:tcW w:type="dxa" w:w="3389"/>
            <w:vAlign w:val="center"/>
          </w:tcPr>
          <w:p>
            <w:pPr>
              <w:spacing w:after="20" w:line="240" w:lineRule="auto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За единицу</w:t>
            </w:r>
          </w:p>
        </w:tc>
        <w:tc>
          <w:tcPr>
            <w:tcW w:type="dxa" w:w="3389"/>
            <w:vAlign w:val="center"/>
          </w:tcPr>
          <w:p>
            <w:pPr>
              <w:spacing w:after="20" w:line="240" w:lineRule="auto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Настройки, блок «Тарифы»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 w:line="240" w:lineRule="auto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Упаковка</w:t>
            </w:r>
          </w:p>
        </w:tc>
        <w:tc>
          <w:tcPr>
            <w:tcW w:type="dxa" w:w="3389"/>
            <w:vAlign w:val="center"/>
          </w:tcPr>
          <w:p>
            <w:pPr>
              <w:spacing w:after="20" w:line="240" w:lineRule="auto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За единицу</w:t>
            </w:r>
          </w:p>
        </w:tc>
        <w:tc>
          <w:tcPr>
            <w:tcW w:type="dxa" w:w="3389"/>
            <w:vAlign w:val="center"/>
          </w:tcPr>
          <w:p>
            <w:pPr>
              <w:spacing w:after="20" w:line="240" w:lineRule="auto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Настройки, блок «Тарифы»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 w:line="240" w:lineRule="auto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Возврат</w:t>
            </w:r>
          </w:p>
        </w:tc>
        <w:tc>
          <w:tcPr>
            <w:tcW w:type="dxa" w:w="3389"/>
            <w:vAlign w:val="center"/>
          </w:tcPr>
          <w:p>
            <w:pPr>
              <w:spacing w:after="20" w:line="240" w:lineRule="auto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За единицу</w:t>
            </w:r>
          </w:p>
        </w:tc>
        <w:tc>
          <w:tcPr>
            <w:tcW w:type="dxa" w:w="3389"/>
            <w:vAlign w:val="center"/>
          </w:tcPr>
          <w:p>
            <w:pPr>
              <w:spacing w:after="20" w:line="240" w:lineRule="auto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Настройки, блок «Тарифы»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 w:line="240" w:lineRule="auto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Хранение</w:t>
            </w:r>
          </w:p>
        </w:tc>
        <w:tc>
          <w:tcPr>
            <w:tcW w:type="dxa" w:w="3389"/>
            <w:vAlign w:val="center"/>
          </w:tcPr>
          <w:p>
            <w:pPr>
              <w:spacing w:after="20" w:line="240" w:lineRule="auto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Только за литр-день</w:t>
            </w:r>
          </w:p>
        </w:tc>
        <w:tc>
          <w:tcPr>
            <w:tcW w:type="dxa" w:w="3389"/>
            <w:vAlign w:val="center"/>
          </w:tcPr>
          <w:p>
            <w:pPr>
              <w:spacing w:after="20" w:line="240" w:lineRule="auto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Раздел «Хранение» или блок «Тарифы»</w:t>
            </w:r>
          </w:p>
        </w:tc>
      </w:tr>
    </w:tbl>
    <w:p/>
    <w:p>
      <w:pPr>
        <w:ind w:left="216" w:right="144"/>
        <w:shd w:fill="F4F0FC"/>
      </w:pPr>
      <w:r>
        <w:rPr>
          <w:i/>
        </w:rPr>
        <w:t>Отдельно стоит блок «Ставки сотрудников» в том же разделе «Тарифы». Это оплата труда работников склада, а не цена для селлера: на счета селлерам эти ставки не влияют и в «Расчётах» не участвуют.</w:t>
      </w:r>
    </w:p>
    <w:p>
      <w:pPr>
        <w:pStyle w:val="Heading2"/>
      </w:pPr>
      <w:r>
        <w:t>Частые ошибки и что делать</w:t>
      </w:r>
    </w:p>
    <w:p>
      <w:pPr>
        <w:pStyle w:val="ListBullet"/>
      </w:pPr>
      <w:r>
        <w:rPr>
          <w:b/>
        </w:rPr>
        <w:t>Завели ставку, а документы всё равно в колонке «Нет ставки».</w:t>
      </w:r>
      <w:r>
        <w:t xml:space="preserve"> Ставка действует с даты, указанной в поле «Действует с», и задним числом ничего не пересчитывает: у каждого начисления цена зафиксирована на момент операции. Сверьте дату начала ставки с датой документа в раскрывашке. Если период уже прошёл, а денег за него нет, выставить их селлеру можно только ручным счётом — он собирается из строк, которые вы вписываете сами.</w:t>
      </w:r>
    </w:p>
    <w:p>
      <w:pPr>
        <w:pStyle w:val="ListBullet"/>
      </w:pPr>
      <w:r>
        <w:rPr>
          <w:b/>
        </w:rPr>
        <w:t>Пытаются вылечить тарифом колонку «Не тарифицируется».</w:t>
      </w:r>
      <w:r>
        <w:t xml:space="preserve"> Не выйдет: у этих документов вообще нет платной услуги, ставка тут ни при чём. Если такие документы должны стоить денег, вопрос не к экрану «Расчёты», а к настройке того процесса, который их порождает — идите к администратору, а не заводите ставки наугад.</w:t>
      </w:r>
    </w:p>
    <w:p>
      <w:pPr>
        <w:pStyle w:val="ListBullet"/>
      </w:pPr>
      <w:r>
        <w:rPr>
          <w:b/>
        </w:rPr>
        <w:t>Галочка у строки серая, и непонятно почему.</w:t>
      </w:r>
      <w:r>
        <w:t xml:space="preserve"> Наведите на неё курсор — причина написана словами: «Документ ещё не начислен — счёт собирается из начислений», «Нет ставки — задайте тариф в настройках», «Документ не тарифицируется» или «Сторно попадёт в счёт вместе со своим начислением». Последнее — не ошибка: сторно всегда уходит в счёт в паре со своим начислением, отдельно его выставить нельзя.</w:t>
      </w:r>
    </w:p>
    <w:p>
      <w:pPr>
        <w:pStyle w:val="ListBullet"/>
      </w:pPr>
      <w:r>
        <w:rPr>
          <w:b/>
        </w:rPr>
        <w:t>Строку хранения не выбрать: «Нет габаритов у товара — хранение в счёт не включить».</w:t>
      </w:r>
      <w:r>
        <w:t xml:space="preserve"> Значит, хотя бы у одного товара селлера нет объёма, и посчитать литро-дни честно нельзя. Идите в раздел </w:t>
      </w:r>
      <w:r>
        <w:rPr>
          <w:b/>
        </w:rPr>
        <w:t>«Хранение»</w:t>
      </w:r>
      <w:r>
        <w:t xml:space="preserve">, найдите строки со статусом «Нет габаритов», нажмите </w:t>
      </w:r>
      <w:r>
        <w:rPr>
          <w:b/>
        </w:rPr>
        <w:t>«Внести обмер»</w:t>
      </w:r>
      <w:r>
        <w:t xml:space="preserve"> и заполните либо «Габариты товара» (длина, ширина, высота в сантиметрах), либо «Объём тары» с комментарием — расчёт пересчитается сам сразу после сохранения обмера.</w:t>
      </w:r>
    </w:p>
    <w:p>
      <w:pPr>
        <w:pStyle w:val="ListBullet"/>
      </w:pPr>
      <w:r>
        <w:rPr>
          <w:b/>
        </w:rPr>
        <w:t>При сохранении счёта: «Расчёт хранения устарел, пока счёт собирался».</w:t>
      </w:r>
      <w:r>
        <w:t xml:space="preserve"> Сервер пересчитывает хранение заново и не верит цифре из браузера — за время сборки счёта что-то изменилось (движение остатка, габариты, ставка). Обновите отчёт, заново отметьте строку хранения и соберите счёт ещё раз. Сообщение «Счёт изменился с момента предпросмотра. Соберите его заново» лечится так же.</w:t>
      </w:r>
    </w:p>
    <w:p>
      <w:pPr>
        <w:pStyle w:val="ListBullet"/>
      </w:pPr>
      <w:r>
        <w:rPr>
          <w:b/>
        </w:rPr>
        <w:t>Ручным счётом закрыли то, что уже было в обычном счёте.</w:t>
      </w:r>
      <w:r>
        <w:t xml:space="preserve"> Ручной счёт ни с чем не связан и не помечает операции выставленными, поэтому одну и ту же работу легко выставить к оплате дважды. Перед ручным счётом посмотрите в раскрывашке колонку «Счёт выставлялся»: «✓» с числом означает, что начисление уже попадало в счета.</w:t>
      </w:r>
    </w:p>
    <w:p>
      <w:pPr>
        <w:pStyle w:val="ListBullet"/>
      </w:pPr>
      <w:r>
        <w:rPr>
          <w:b/>
        </w:rPr>
        <w:t>При сохранении тарифов: «Конфигурация тарифов уже изменилась. Обновите данные и повторите сохранение».</w:t>
      </w:r>
      <w:r>
        <w:t xml:space="preserve"> Кто-то сохранил матрицу параллельно с вами, и ваша версия устарела. Перезагрузите экран настроек, внесите правку заново и сохраните — иначе вы затрёте чужую ставку.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97082"/>
        <w:sz w:val="16"/>
      </w:rPr>
      <w:t xml:space="preserve">База знаний WMS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97082"/>
        <w:sz w:val="16"/>
      </w:rPr>
      <w:t>База знаний WMS · экспорт статьи приложения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252B3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5425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0384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0384A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