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多滨，刘同，郑宇翔，苏文</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多头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消融实验表明，移除预测模块或注意力模块后切换次数与时延均有增加，验证了各模块对决策质量的贡献。</w:t>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pPr>
      <w:r>
        <w:rPr>
          <w:rFonts w:ascii="Times New Roman" w:hAnsi="Times New Roman" w:eastAsia="宋体"/>
          <w:b w:val="false"/>
          <w:sz w:val="21"/>
        </w:rPr>
        <w:t>中图分类号：</w:t>
      </w:r>
      <w:r>
        <w:rPr>
          <w:rFonts w:eastAsia="宋体" w:ascii="Times New Roman" w:hAnsi="Times New Roman"/>
          <w:b w:val="false"/>
          <w:sz w:val="21"/>
        </w:rPr>
        <w:t xml:space="preserve">TN929.5    </w:t>
      </w:r>
      <w:r>
        <w:rPr>
          <w:rFonts w:ascii="Times New Roman" w:hAnsi="Times New Roman" w:eastAsia="宋体"/>
          <w:b w:val="false"/>
          <w:sz w:val="21"/>
        </w:rPr>
        <w:t>文献标志码：</w:t>
      </w:r>
      <w:r>
        <w:rPr>
          <w:rFonts w:eastAsia="宋体" w:ascii="Times New Roman" w:hAnsi="Times New Roman"/>
          <w:b w:val="false"/>
          <w:sz w:val="21"/>
        </w:rPr>
        <w:t>A</w:t>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 LIU Tong, ZHENG Yuxiang, SU Wen</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 multi-head attention module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Ablation experiments indicate that removing either the LSTM prediction module or the attention weight module increases handover count and end-to-end delay, confirming the contribution of each component to decision quality.</w:t>
      </w:r>
      <w:r>
        <w:rPr>
          <w:rFonts w:eastAsia="Times New Roman" w:ascii="Times New Roman" w:hAnsi="Times New Roman"/>
          <w:b w:val="false"/>
          <w:sz w:val="21"/>
        </w:rPr>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）、无人车等无人系统正逐渐应用于应急通信、智能巡检、物流运输和复杂环境感知等场景</w:t>
      </w:r>
      <w:r>
        <w:rPr>
          <w:rFonts w:eastAsia="宋体" w:ascii="Times New Roman" w:hAnsi="Times New Roman"/>
          <w:b w:val="false"/>
          <w:sz w:val="21"/>
          <w:vertAlign w:val="superscript"/>
        </w:rPr>
        <w:t>[1-2]</w:t>
      </w:r>
      <w:r>
        <w:rPr>
          <w:rFonts w:ascii="Times New Roman" w:hAnsi="Times New Roman" w:eastAsia="宋体"/>
          <w:b w:val="false"/>
          <w:sz w:val="21"/>
        </w:rPr>
        <w:t>。此类系统通常需要在第五代移动通信（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）等多种无线接入网络之间保持连续通信</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），从而保障通信服务的连续性和稳定性</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为兼顾预测性、实时性和可解释性，研究了基于</w:t>
      </w:r>
      <w:r>
        <w:rPr>
          <w:rFonts w:eastAsia="宋体" w:ascii="Times New Roman" w:hAnsi="Times New Roman"/>
          <w:b w:val="false"/>
          <w:sz w:val="21"/>
        </w:rPr>
        <w:t>LSTM</w:t>
      </w:r>
      <w:r>
        <w:rPr>
          <w:rFonts w:ascii="Times New Roman" w:hAnsi="Times New Roman" w:eastAsia="宋体"/>
          <w:b w:val="false"/>
          <w:sz w:val="21"/>
        </w:rPr>
        <w:t>和多头注意力机制的自适应垂直切换算法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完成候选网络排序。与仅依据当前状态的被动式切换相比，该方法能够在网络质量恶化前进行前瞻性判断；与固定权重的多属性决策相比，该方法能够根据移动状态和网络状态自适应调整不同指标的重要性。</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考虑无人节点处于</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共同覆盖的异构网络环境中。不同接入网络具有不同的覆盖半径、信号质量和传输能力。无人节点在三维空间中移动，并周期性采集各候选网络的状态信息</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SINR</w:t>
      </w:r>
      <w:r>
        <w:rPr>
          <w:rFonts w:ascii="Times New Roman" w:hAnsi="Times New Roman" w:eastAsia="宋体"/>
          <w:b w:val="false"/>
          <w:sz w:val="21"/>
        </w:rPr>
        <w:t>为信号与干扰加噪声比（</w:t>
      </w:r>
      <w:r>
        <w:rPr>
          <w:rFonts w:eastAsia="宋体" w:ascii="Times New Roman" w:hAnsi="Times New Roman"/>
          <w:b w:val="false"/>
          <w:sz w:val="21"/>
        </w:rPr>
        <w:t>signal-to-interference-plus-noise ratio</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为参考信号接收功率（</w:t>
      </w:r>
      <w:r>
        <w:rPr>
          <w:rFonts w:eastAsia="宋体" w:ascii="Times New Roman" w:hAnsi="Times New Roman"/>
          <w:b w:val="false"/>
          <w:sz w:val="21"/>
        </w:rPr>
        <w:t>reference signal received power</w:t>
      </w:r>
      <w:r>
        <w:rPr>
          <w:rFonts w:ascii="Times New Roman" w:hAnsi="Times New Roman" w:eastAsia="宋体"/>
          <w:b w:val="false"/>
          <w:sz w:val="21"/>
        </w:rPr>
        <w:t>），</w:t>
      </w:r>
      <w:r>
        <w:rPr>
          <w:rFonts w:eastAsia="宋体" w:ascii="Times New Roman" w:hAnsi="Times New Roman"/>
          <w:b w:val="false"/>
          <w:sz w:val="21"/>
        </w:rPr>
        <w:t>D</w:t>
      </w:r>
      <w:r>
        <w:rPr>
          <w:rFonts w:ascii="Times New Roman" w:hAnsi="Times New Roman" w:eastAsia="宋体"/>
          <w:b w:val="false"/>
          <w:sz w:val="21"/>
        </w:rPr>
        <w:t>为端到端时延，</w:t>
      </w:r>
      <w:r>
        <w:rPr>
          <w:rFonts w:eastAsia="宋体" w:ascii="Times New Roman" w:hAnsi="Times New Roman"/>
          <w:b w:val="false"/>
          <w:sz w:val="21"/>
        </w:rPr>
        <w:t>T</w:t>
      </w:r>
      <w:r>
        <w:rPr>
          <w:rFonts w:ascii="Times New Roman" w:hAnsi="Times New Roman" w:eastAsia="宋体"/>
          <w:b w:val="false"/>
          <w:sz w:val="21"/>
        </w:rPr>
        <w:t>为吞吐量，</w:t>
      </w:r>
      <w:r>
        <w:rPr>
          <w:rFonts w:eastAsia="宋体" w:ascii="Times New Roman" w:hAnsi="Times New Roman"/>
          <w:b w:val="false"/>
          <w:sz w:val="21"/>
        </w:rPr>
        <w:t>PLR</w:t>
      </w:r>
      <w:r>
        <w:rPr>
          <w:rFonts w:ascii="Times New Roman" w:hAnsi="Times New Roman" w:eastAsia="宋体"/>
          <w:b w:val="false"/>
          <w:sz w:val="21"/>
        </w:rPr>
        <w:t>为丢包率（</w:t>
      </w:r>
      <w:r>
        <w:rPr>
          <w:rFonts w:eastAsia="宋体" w:ascii="Times New Roman" w:hAnsi="Times New Roman"/>
          <w:b w:val="false"/>
          <w:sz w:val="21"/>
        </w:rPr>
        <w:t>packet loss rate</w:t>
      </w:r>
      <w:r>
        <w:rPr>
          <w:rFonts w:ascii="Times New Roman" w:hAnsi="Times New Roman" w:eastAsia="宋体"/>
          <w:b w:val="false"/>
          <w:sz w:val="21"/>
        </w:rPr>
        <w:t>）。</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无人节点移动会引起候选网络信号质量和传输性能持续变化。若仅依据当前时刻指标进行切换决策，容易在高速移动或覆盖边缘场景下出现滞后切换</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eastAsia="宋体" w:ascii="Times New Roman" w:hAnsi="Times New Roman"/>
          <w:b w:val="false"/>
          <w:sz w:val="21"/>
        </w:rPr>
        <w:t>LSTM通过输入门、遗忘门和输出门的门控结构缓解传统循环神经网络（RNN, recurrent neural network）在长序列训练中的梯度消失问题[15]，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[16]。具体配置为：第一层128个隐藏单元，第二层64个隐藏单元，时间窗口T=10。模型采用Adam优化器训练，数据集按80%/10%/10%划分为训练集、验证集和测试集，并引入早停策略防止过拟合。</w:t>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120" w:after="120"/>
        <w:jc w:val="center"/>
        <w:rPr/>
      </w:pPr>
      <w:r>
        <w:rPr>
          <w:rFonts w:eastAsia="宋体" w:ascii="Times New Roman" w:hAnsi="Times New Roman"/>
          <w:b w:val="false"/>
          <w:sz w:val="21"/>
        </w:rPr>
        <w:t xml:space="preserve">Xi = [Ŝi(t−T+1), Ŝi(t−T+2), …, Ŝi(t)]    </w:t>
      </w:r>
      <w:r>
        <w:rPr>
          <w:rFonts w:ascii="Times New Roman" w:hAnsi="Times New Roman" w:eastAsia="宋体"/>
          <w:b w:val="false"/>
          <w:sz w:val="21"/>
        </w:rPr>
        <w:t>（</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经</w:t>
      </w:r>
      <w:r>
        <w:rPr>
          <w:rFonts w:eastAsia="宋体" w:ascii="Times New Roman" w:hAnsi="Times New Roman"/>
          <w:b w:val="false"/>
          <w:sz w:val="21"/>
        </w:rPr>
        <w:t>LSTM</w:t>
      </w:r>
      <w:r>
        <w:rPr>
          <w:rFonts w:ascii="Times New Roman" w:hAnsi="Times New Roman" w:eastAsia="宋体"/>
          <w:b w:val="false"/>
          <w:sz w:val="21"/>
        </w:rPr>
        <w:t>模块处理后，得到预测状态</w:t>
      </w:r>
      <w:r>
        <w:rPr>
          <w:rFonts w:eastAsia="宋体" w:ascii="Times New Roman" w:hAnsi="Times New Roman"/>
          <w:b w:val="false"/>
          <w:sz w:val="21"/>
        </w:rPr>
        <w:t>Ŝi(t+Δt)</w:t>
      </w:r>
      <w:r>
        <w:rPr>
          <w:rFonts w:ascii="Times New Roman" w:hAnsi="Times New Roman" w:eastAsia="宋体"/>
          <w:b w:val="false"/>
          <w:sz w:val="21"/>
        </w:rPr>
        <w:t>。该预测状态反映短期未来网络质量变化趋势，可为后续切换决策提供前瞻性信息。</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基于多头注意力机制的动态权重生成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eastAsia="宋体" w:ascii="Times New Roman" w:hAnsi="Times New Roman"/>
          <w:b w:val="false"/>
          <w:sz w:val="21"/>
        </w:rPr>
        <w:t>LAAVHA引入多头注意力机制[18]，输入当前候选网络状态矩阵和移动状态向量，通过h=4个注意力头学习属性之间的相关性，再经池化和全连接层生成动态权重向量</w:t>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spacing w:before="120" w:after="120"/>
        <w:jc w:val="center"/>
        <w:rPr/>
      </w:pPr>
      <w:r>
        <w:rPr>
          <w:rFonts w:eastAsia="宋体" w:ascii="Times New Roman" w:hAnsi="Times New Roman"/>
          <w:b w:val="false"/>
          <w:sz w:val="21"/>
        </w:rPr>
        <w:t>w = [wSINR, wRSRP, wD, wT, wPLR]</w:t>
      </w:r>
      <w:r>
        <w:rPr>
          <w:rFonts w:ascii="Times New Roman" w:hAnsi="Times New Roman" w:eastAsia="宋体"/>
          <w:b w:val="false"/>
          <w:sz w:val="21"/>
        </w:rPr>
        <w:t>，且 ∑</w:t>
      </w:r>
      <w:r>
        <w:rPr>
          <w:rFonts w:eastAsia="宋体" w:ascii="Times New Roman" w:hAnsi="Times New Roman"/>
          <w:b w:val="false"/>
          <w:sz w:val="21"/>
        </w:rPr>
        <w:t xml:space="preserve">wj = 1    </w:t>
      </w:r>
      <w:r>
        <w:rPr>
          <w:rFonts w:ascii="Times New Roman" w:hAnsi="Times New Roman" w:eastAsia="宋体"/>
          <w:b w:val="false"/>
          <w:sz w:val="21"/>
        </w:rPr>
        <w:t>（</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该权重向量随网络状态和移动状态自适应变化，用于后续</w:t>
      </w:r>
      <w:r>
        <w:rPr>
          <w:rFonts w:eastAsia="宋体" w:ascii="Times New Roman" w:hAnsi="Times New Roman"/>
          <w:b w:val="false"/>
          <w:sz w:val="21"/>
        </w:rPr>
        <w:t>TOPSIS</w:t>
      </w:r>
      <w:r>
        <w:rPr>
          <w:rFonts w:ascii="Times New Roman" w:hAnsi="Times New Roman" w:eastAsia="宋体"/>
          <w:b w:val="false"/>
          <w:sz w:val="21"/>
        </w:rPr>
        <w:t>加权归一化矩阵计算。由此，算法能够在不同场景下自动调整决策关注重点，提高网络选择的适应性。</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eastAsia="宋体" w:ascii="Times New Roman" w:hAnsi="Times New Roman"/>
          <w:b w:val="false"/>
          <w:sz w:val="21"/>
        </w:rPr>
        <w:t>TOPSIS</w:t>
      </w:r>
      <w:r>
        <w:rPr>
          <w:rFonts w:ascii="Times New Roman" w:hAnsi="Times New Roman" w:eastAsia="宋体"/>
          <w:b w:val="false"/>
          <w:sz w:val="21"/>
        </w:rPr>
        <w:t>的基本思想是选择最接近正理想解、最远离负理想解的候选方案</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120" w:after="120"/>
        <w:jc w:val="center"/>
        <w:rPr/>
      </w:pPr>
      <w:r>
        <w:rPr>
          <w:rFonts w:eastAsia="宋体" w:ascii="Times New Roman" w:hAnsi="Times New Roman"/>
          <w:b w:val="false"/>
          <w:sz w:val="21"/>
        </w:rPr>
        <w:t xml:space="preserve">dij = α · ŝij(t) + (1−α) · ŝij(t+Δt)    </w:t>
      </w:r>
      <w:r>
        <w:rPr>
          <w:rFonts w:ascii="Times New Roman" w:hAnsi="Times New Roman" w:eastAsia="宋体"/>
          <w:b w:val="false"/>
          <w:sz w:val="21"/>
        </w:rPr>
        <w:t>（</w:t>
      </w:r>
      <w:r>
        <w:rPr>
          <w:rFonts w:eastAsia="宋体" w:ascii="Times New Roman" w:hAnsi="Times New Roman"/>
          <w:b w:val="false"/>
          <w:sz w:val="21"/>
        </w:rPr>
        <w:t>4</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式中，α为融合系数（本文取α=0.6），用于调节当前状态和预测状态在决策中的占比。得到融合决策矩阵后，算法依次执行向量归一化、动态权重加权、正负理想解确定、欧氏距离计算和相对贴近度计算。候选网络i的相对贴近度为</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120" w:after="120"/>
        <w:jc w:val="center"/>
        <w:rPr/>
      </w:pPr>
      <w:r>
        <w:rPr>
          <w:rFonts w:eastAsia="宋体" w:ascii="Times New Roman" w:hAnsi="Times New Roman"/>
          <w:b w:val="false"/>
          <w:sz w:val="21"/>
        </w:rPr>
        <w:t xml:space="preserve">Ci = Di⁻ / (Di⁺ + Di⁻)    </w:t>
      </w:r>
      <w:r>
        <w:rPr>
          <w:rFonts w:ascii="Times New Roman" w:hAnsi="Times New Roman" w:eastAsia="宋体"/>
          <w:b w:val="false"/>
          <w:sz w:val="21"/>
        </w:rPr>
        <w:t>（</w:t>
      </w:r>
      <w:r>
        <w:rPr>
          <w:rFonts w:eastAsia="宋体" w:ascii="Times New Roman" w:hAnsi="Times New Roman"/>
          <w:b w:val="false"/>
          <w:sz w:val="21"/>
        </w:rPr>
        <w:t>5</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Di⁺</w:t>
      </w:r>
      <w:r>
        <w:rPr>
          <w:rFonts w:ascii="Times New Roman" w:hAnsi="Times New Roman" w:eastAsia="宋体"/>
          <w:b w:val="false"/>
          <w:sz w:val="21"/>
        </w:rPr>
        <w:t>和</w:t>
      </w:r>
      <w:r>
        <w:rPr>
          <w:rFonts w:eastAsia="宋体" w:ascii="Times New Roman" w:hAnsi="Times New Roman"/>
          <w:b w:val="false"/>
          <w:sz w:val="21"/>
        </w:rPr>
        <w:t>Di⁻</w:t>
      </w:r>
      <w:r>
        <w:rPr>
          <w:rFonts w:ascii="Times New Roman" w:hAnsi="Times New Roman" w:eastAsia="宋体"/>
          <w:b w:val="false"/>
          <w:sz w:val="21"/>
        </w:rPr>
        <w:t>分别表示候选网络到正理想解和负理想解的距离。</w:t>
      </w:r>
      <w:r>
        <w:rPr>
          <w:rFonts w:eastAsia="宋体" w:ascii="Times New Roman" w:hAnsi="Times New Roman"/>
          <w:b w:val="false"/>
          <w:sz w:val="21"/>
        </w:rPr>
        <w:t>Ci</w:t>
      </w:r>
      <w:r>
        <w:rPr>
          <w:rFonts w:ascii="Times New Roman" w:hAnsi="Times New Roman" w:eastAsia="宋体"/>
          <w:b w:val="false"/>
          <w:sz w:val="21"/>
        </w:rPr>
        <w:t>越大，说明候选网络综合质量越优。</w:t>
      </w:r>
    </w:p>
    <w:p>
      <w:pPr>
        <w:pStyle w:val="Normal"/>
        <w:ind w:firstLine="420"/>
        <w:jc w:val="both"/>
        <w:rPr/>
      </w:pPr>
      <w:r>
        <w:rPr>
          <w:rFonts w:ascii="Times New Roman" w:hAnsi="Times New Roman" w:eastAsia="宋体"/>
          <w:b w:val="false"/>
          <w:sz w:val="21"/>
        </w:rPr>
        <w:t>为降低网络状态瞬时波动引发的乒乓切换，算法设置双重滞后机制</w:t>
      </w:r>
      <w:r>
        <w:rPr>
          <w:rFonts w:eastAsia="宋体" w:ascii="Times New Roman" w:hAnsi="Times New Roman"/>
          <w:b w:val="false"/>
          <w:sz w:val="21"/>
          <w:vertAlign w:val="superscript"/>
        </w:rPr>
        <w:t>[25]</w:t>
      </w:r>
      <w:r>
        <w:rPr>
          <w:rFonts w:ascii="Times New Roman" w:hAnsi="Times New Roman" w:eastAsia="宋体"/>
          <w:b w:val="false"/>
          <w:sz w:val="21"/>
        </w:rPr>
        <w:t>。首先，仅当目标网络相对贴近度超过当前网络一定阈值时，才满足切换必要条件；其次，只有连续多个决策周期满足切换条件时才执行切换。该机制能够过滤短时信道波动，提高决策稳定性。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W w:w="95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基于多头注意力机制生成动态属性权重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w:t>
      </w:r>
      <w:r>
        <w:rPr/>
        <w:t>TOPSIS</w:t>
      </w:r>
      <w:r>
        <w:rPr/>
        <w:t>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模型，读取网络状态、速度、高度和当前网络编号，输出目标网络编号及候选网络评分。网络编号中，</w:t>
      </w:r>
      <w:r>
        <w:rPr>
          <w:rFonts w:eastAsia="宋体" w:ascii="Times New Roman" w:hAnsi="Times New Roman"/>
          <w:b w:val="false"/>
          <w:sz w:val="21"/>
        </w:rPr>
        <w:t>0</w:t>
      </w:r>
      <w:r>
        <w:rPr>
          <w:rFonts w:ascii="Times New Roman" w:hAnsi="Times New Roman" w:eastAsia="宋体"/>
          <w:b w:val="false"/>
          <w:sz w:val="21"/>
        </w:rPr>
        <w:t>表示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表示</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2</w:t>
      </w:r>
      <w:r>
        <w:rPr>
          <w:rFonts w:ascii="Times New Roman" w:hAnsi="Times New Roman" w:eastAsia="宋体"/>
          <w:b w:val="false"/>
          <w:sz w:val="21"/>
        </w:rPr>
        <w:t>表示</w:t>
      </w:r>
      <w:r>
        <w:rPr>
          <w:rFonts w:eastAsia="宋体" w:ascii="Times New Roman" w:hAnsi="Times New Roman"/>
          <w:b w:val="false"/>
          <w:sz w:val="21"/>
        </w:rPr>
        <w:t>WiFi</w:t>
      </w:r>
      <w:r>
        <w:rPr>
          <w:rFonts w:ascii="Times New Roman" w:hAnsi="Times New Roman" w:eastAsia="宋体"/>
          <w:b w:val="false"/>
          <w:sz w:val="21"/>
        </w:rPr>
        <w:t>。模型输入为</w:t>
      </w:r>
      <w:r>
        <w:rPr>
          <w:rFonts w:eastAsia="宋体" w:ascii="Times New Roman" w:hAnsi="Times New Roman"/>
          <w:b w:val="false"/>
          <w:sz w:val="21"/>
        </w:rPr>
        <w:t>15</w:t>
      </w:r>
      <w:r>
        <w:rPr>
          <w:rFonts w:ascii="Times New Roman" w:hAnsi="Times New Roman" w:eastAsia="宋体"/>
          <w:b w:val="false"/>
          <w:sz w:val="21"/>
        </w:rPr>
        <w:t>维向量（</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5</w:t>
      </w:r>
      <w:r>
        <w:rPr>
          <w:rFonts w:ascii="Times New Roman" w:hAnsi="Times New Roman" w:eastAsia="宋体"/>
          <w:b w:val="false"/>
          <w:sz w:val="21"/>
        </w:rPr>
        <w:t>项归一化指标拼接），移动状态输入为</w:t>
      </w:r>
      <w:r>
        <w:rPr>
          <w:rFonts w:eastAsia="宋体" w:ascii="Times New Roman" w:hAnsi="Times New Roman"/>
          <w:b w:val="false"/>
          <w:sz w:val="21"/>
        </w:rPr>
        <w:t>2</w:t>
      </w:r>
      <w:r>
        <w:rPr>
          <w:rFonts w:ascii="Times New Roman" w:hAnsi="Times New Roman" w:eastAsia="宋体"/>
          <w:b w:val="false"/>
          <w:sz w:val="21"/>
        </w:rPr>
        <w:t>维（速度和高度），输出为</w:t>
      </w:r>
      <w:r>
        <w:rPr>
          <w:rFonts w:eastAsia="宋体" w:ascii="Times New Roman" w:hAnsi="Times New Roman"/>
          <w:b w:val="false"/>
          <w:sz w:val="21"/>
        </w:rPr>
        <w:t>3</w:t>
      </w:r>
      <w:r>
        <w:rPr>
          <w:rFonts w:ascii="Times New Roman" w:hAnsi="Times New Roman" w:eastAsia="宋体"/>
          <w:b w:val="false"/>
          <w:sz w:val="21"/>
        </w:rPr>
        <w:t>维</w:t>
      </w:r>
      <w:r>
        <w:rPr>
          <w:rFonts w:eastAsia="宋体" w:ascii="Times New Roman" w:hAnsi="Times New Roman"/>
          <w:b w:val="false"/>
          <w:sz w:val="21"/>
        </w:rPr>
        <w:t>softmax</w:t>
      </w:r>
      <w:r>
        <w:rPr>
          <w:rFonts w:ascii="Times New Roman" w:hAnsi="Times New Roman" w:eastAsia="宋体"/>
          <w:b w:val="false"/>
          <w:sz w:val="21"/>
        </w:rPr>
        <w:t>向量对应候选网络评分。</w:t>
      </w:r>
    </w:p>
    <w:p>
      <w:pPr>
        <w:pStyle w:val="Normal"/>
        <w:ind w:firstLine="420"/>
        <w:jc w:val="both"/>
        <w:rPr/>
      </w:pPr>
      <w:r>
        <w:rPr>
          <w:rFonts w:ascii="Times New Roman" w:hAnsi="Times New Roman" w:eastAsia="宋体"/>
          <w:b w:val="false"/>
          <w:sz w:val="21"/>
        </w:rPr>
        <w:t>实验采用</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次决策。为增加场景差异，启用位置和高度扰动，位置扰动范围为</w:t>
      </w:r>
      <w:r>
        <w:rPr>
          <w:rFonts w:eastAsia="宋体" w:ascii="Times New Roman" w:hAnsi="Times New Roman"/>
          <w:b w:val="false"/>
          <w:sz w:val="21"/>
        </w:rPr>
        <w:t>30 m</w:t>
      </w:r>
      <w:r>
        <w:rPr>
          <w:rFonts w:ascii="Times New Roman" w:hAnsi="Times New Roman" w:eastAsia="宋体"/>
          <w:b w:val="false"/>
          <w:sz w:val="21"/>
        </w:rPr>
        <w:t>，高度扰动范围为</w:t>
      </w:r>
      <w:r>
        <w:rPr>
          <w:rFonts w:eastAsia="宋体" w:ascii="Times New Roman" w:hAnsi="Times New Roman"/>
          <w:b w:val="false"/>
          <w:sz w:val="21"/>
        </w:rPr>
        <w:t>10 m</w:t>
      </w:r>
      <w:r>
        <w:rPr>
          <w:rFonts w:ascii="Times New Roman" w:hAnsi="Times New Roman" w:eastAsia="宋体"/>
          <w:b w:val="false"/>
          <w:sz w:val="21"/>
        </w:rPr>
        <w:t>。实验采用</w:t>
      </w:r>
      <w:r>
        <w:rPr>
          <w:rFonts w:eastAsia="宋体" w:ascii="Times New Roman" w:hAnsi="Times New Roman"/>
          <w:b w:val="false"/>
          <w:sz w:val="21"/>
        </w:rPr>
        <w:t>LAAVHA</w:t>
      </w:r>
      <w:r>
        <w:rPr>
          <w:rFonts w:ascii="Times New Roman" w:hAnsi="Times New Roman" w:eastAsia="宋体"/>
          <w:b w:val="false"/>
          <w:sz w:val="21"/>
        </w:rPr>
        <w:t>单算法模式，记录每次决策的候选网络评分、</w:t>
      </w:r>
      <w:r>
        <w:rPr>
          <w:rFonts w:eastAsia="宋体" w:ascii="Times New Roman" w:hAnsi="Times New Roman"/>
          <w:b w:val="false"/>
          <w:sz w:val="21"/>
        </w:rPr>
        <w:t>SINR</w:t>
      </w:r>
      <w:r>
        <w:rPr>
          <w:rFonts w:ascii="Times New Roman" w:hAnsi="Times New Roman" w:eastAsia="宋体"/>
          <w:b w:val="false"/>
          <w:sz w:val="21"/>
        </w:rPr>
        <w:t>、当前网络、目标网络和切换标记。</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W w:w="95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W w:w="95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c>
          <w:tcPr>
            <w:tcW w:type="dxa" w:w="4762"/>
          </w:tcPr>
          <w:p>
            <w:pPr>
              <w:jc w:val="center"/>
            </w:pPr>
            <w:r>
              <w:rPr>
                <w:rFonts w:ascii="宋体" w:hAnsi="宋体"/>
                <w:sz w:val="18"/>
              </w:rPr>
              <w:t>时间窗口 T</w:t>
            </w:r>
          </w:p>
        </w:tc>
        <w:tc>
          <w:tcPr>
            <w:tcW w:type="dxa" w:w="4761"/>
          </w:tcPr>
          <w:p>
            <w:pPr>
              <w:jc w:val="center"/>
            </w:pPr>
            <w:r>
              <w:rPr>
                <w:rFonts w:ascii="宋体" w:hAnsi="宋体"/>
                <w:sz w:val="18"/>
              </w:rPr>
              <w:t>10</w:t>
            </w:r>
          </w:p>
        </w:tc>
      </w:tr>
      <w:tr>
        <w:tc>
          <w:tcPr>
            <w:tcW w:type="dxa" w:w="4762"/>
          </w:tcPr>
          <w:p>
            <w:pPr>
              <w:jc w:val="center"/>
            </w:pPr>
            <w:r>
              <w:rPr>
                <w:rFonts w:ascii="宋体" w:hAnsi="宋体"/>
                <w:sz w:val="18"/>
              </w:rPr>
              <w:t>LSTM隐藏单元</w:t>
            </w:r>
          </w:p>
        </w:tc>
        <w:tc>
          <w:tcPr>
            <w:tcW w:type="dxa" w:w="4761"/>
          </w:tcPr>
          <w:p>
            <w:pPr>
              <w:jc w:val="center"/>
            </w:pPr>
            <w:r>
              <w:rPr>
                <w:rFonts w:ascii="宋体" w:hAnsi="宋体"/>
                <w:sz w:val="18"/>
              </w:rPr>
              <w:t>第一层128，第二层64</w:t>
            </w:r>
          </w:p>
        </w:tc>
      </w:tr>
      <w:tr>
        <w:tc>
          <w:tcPr>
            <w:tcW w:type="dxa" w:w="4762"/>
          </w:tcPr>
          <w:p>
            <w:pPr>
              <w:jc w:val="center"/>
            </w:pPr>
            <w:r>
              <w:rPr>
                <w:rFonts w:ascii="宋体" w:hAnsi="宋体"/>
                <w:sz w:val="18"/>
              </w:rPr>
              <w:t>注意力头数 h</w:t>
            </w:r>
          </w:p>
        </w:tc>
        <w:tc>
          <w:tcPr>
            <w:tcW w:type="dxa" w:w="4761"/>
          </w:tcPr>
          <w:p>
            <w:pPr>
              <w:jc w:val="center"/>
            </w:pPr>
            <w:r>
              <w:rPr>
                <w:rFonts w:ascii="宋体" w:hAnsi="宋体"/>
                <w:sz w:val="18"/>
              </w:rPr>
              <w:t>4</w:t>
            </w:r>
          </w:p>
        </w:tc>
      </w:tr>
      <w:tr>
        <w:tc>
          <w:tcPr>
            <w:tcW w:type="dxa" w:w="4762"/>
          </w:tcPr>
          <w:p>
            <w:pPr>
              <w:jc w:val="center"/>
            </w:pPr>
            <w:r>
              <w:rPr>
                <w:rFonts w:ascii="宋体" w:hAnsi="宋体"/>
                <w:sz w:val="18"/>
              </w:rPr>
              <w:t>融合系数 α</w:t>
            </w:r>
          </w:p>
        </w:tc>
        <w:tc>
          <w:tcPr>
            <w:tcW w:type="dxa" w:w="4761"/>
          </w:tcPr>
          <w:p>
            <w:pPr>
              <w:jc w:val="center"/>
            </w:pPr>
            <w:r>
              <w:rPr>
                <w:rFonts w:ascii="宋体" w:hAnsi="宋体"/>
                <w:sz w:val="18"/>
              </w:rPr>
              <w:t>0.6</w:t>
            </w:r>
          </w:p>
        </w:tc>
      </w:tr>
      <w:tr>
        <w:tc>
          <w:tcPr>
            <w:tcW w:type="dxa" w:w="4762"/>
          </w:tcPr>
          <w:p>
            <w:pPr>
              <w:jc w:val="center"/>
            </w:pPr>
            <w:r>
              <w:rPr>
                <w:rFonts w:ascii="宋体" w:hAnsi="宋体"/>
                <w:sz w:val="18"/>
              </w:rPr>
              <w:t>数据集划分</w:t>
            </w:r>
          </w:p>
        </w:tc>
        <w:tc>
          <w:tcPr>
            <w:tcW w:type="dxa" w:w="4761"/>
          </w:tcPr>
          <w:p>
            <w:pPr>
              <w:jc w:val="center"/>
            </w:pPr>
            <w:r>
              <w:rPr>
                <w:rFonts w:ascii="宋体" w:hAnsi="宋体"/>
                <w:sz w:val="18"/>
              </w:rPr>
              <w:t>训练/验证/测试 = 80%/10%/10%</w:t>
            </w:r>
          </w:p>
        </w:tc>
      </w:tr>
      <w:tr>
        <w:tc>
          <w:tcPr>
            <w:tcW w:type="dxa" w:w="4762"/>
          </w:tcPr>
          <w:p>
            <w:pPr>
              <w:jc w:val="center"/>
            </w:pPr>
            <w:r>
              <w:rPr>
                <w:rFonts w:ascii="宋体" w:hAnsi="宋体"/>
                <w:sz w:val="18"/>
              </w:rPr>
              <w:t>优化器</w:t>
            </w:r>
          </w:p>
        </w:tc>
        <w:tc>
          <w:tcPr>
            <w:tcW w:type="dxa" w:w="4761"/>
          </w:tcPr>
          <w:p>
            <w:pPr>
              <w:jc w:val="center"/>
            </w:pPr>
            <w:r>
              <w:rPr>
                <w:rFonts w:ascii="宋体" w:hAnsi="宋体"/>
                <w:sz w:val="18"/>
              </w:rPr>
              <w:t>Adam</w:t>
            </w:r>
          </w:p>
        </w:tc>
      </w:tr>
      <w:tr>
        <w:tc>
          <w:tcPr>
            <w:tcW w:type="dxa" w:w="4762"/>
          </w:tcPr>
          <w:p>
            <w:pPr>
              <w:jc w:val="center"/>
            </w:pPr>
            <w:r>
              <w:rPr>
                <w:rFonts w:ascii="宋体" w:hAnsi="宋体"/>
                <w:sz w:val="18"/>
              </w:rPr>
              <w:t>早停策略</w:t>
            </w:r>
          </w:p>
        </w:tc>
        <w:tc>
          <w:tcPr>
            <w:tcW w:type="dxa" w:w="4761"/>
          </w:tcPr>
          <w:p>
            <w:pPr>
              <w:jc w:val="cente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候选网络评分趋势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1</w:t>
      </w:r>
      <w:r>
        <w:rPr>
          <w:rFonts w:ascii="Times New Roman" w:hAnsi="Times New Roman" w:eastAsia="宋体"/>
          <w:b w:val="false"/>
          <w:sz w:val="21"/>
        </w:rPr>
        <w:t>所示为</w:t>
      </w:r>
      <w:r>
        <w:rPr>
          <w:rFonts w:eastAsia="宋体" w:ascii="Times New Roman" w:hAnsi="Times New Roman"/>
          <w:b w:val="false"/>
          <w:sz w:val="21"/>
        </w:rPr>
        <w:t>20</w:t>
      </w:r>
      <w:r>
        <w:rPr>
          <w:rFonts w:ascii="Times New Roman" w:hAnsi="Times New Roman" w:eastAsia="宋体"/>
          <w:b w:val="false"/>
          <w:sz w:val="21"/>
        </w:rPr>
        <w:t>次运行中</w:t>
      </w:r>
      <w:r>
        <w:rPr>
          <w:rFonts w:eastAsia="宋体" w:ascii="Times New Roman" w:hAnsi="Times New Roman"/>
          <w:b w:val="false"/>
          <w:sz w:val="21"/>
        </w:rPr>
        <w:t>LAAVHA</w:t>
      </w:r>
      <w:r>
        <w:rPr>
          <w:rFonts w:ascii="Times New Roman" w:hAnsi="Times New Roman" w:eastAsia="宋体"/>
          <w:b w:val="false"/>
          <w:sz w:val="21"/>
        </w:rPr>
        <w:t>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候选网络输出评分的均值与标准差。可以看出，在当前代理场景中，</w:t>
      </w:r>
      <w:r>
        <w:rPr>
          <w:rFonts w:eastAsia="宋体" w:ascii="Times New Roman" w:hAnsi="Times New Roman"/>
          <w:b w:val="false"/>
          <w:sz w:val="21"/>
        </w:rPr>
        <w:t>LTE</w:t>
      </w:r>
      <w:r>
        <w:rPr>
          <w:rFonts w:ascii="Times New Roman" w:hAnsi="Times New Roman" w:eastAsia="宋体"/>
          <w:b w:val="false"/>
          <w:sz w:val="21"/>
        </w:rPr>
        <w:t>评分长期保持较高水平，</w:t>
      </w:r>
      <w:r>
        <w:rPr>
          <w:rFonts w:eastAsia="宋体" w:ascii="Times New Roman" w:hAnsi="Times New Roman"/>
          <w:b w:val="false"/>
          <w:sz w:val="21"/>
        </w:rPr>
        <w:t>WiFi</w:t>
      </w:r>
      <w:r>
        <w:rPr>
          <w:rFonts w:ascii="Times New Roman" w:hAnsi="Times New Roman" w:eastAsia="宋体"/>
          <w:b w:val="false"/>
          <w:sz w:val="21"/>
        </w:rPr>
        <w:t>评分随无人节点远离接入点呈现下降趋势，</w:t>
      </w:r>
      <w:r>
        <w:rPr>
          <w:rFonts w:eastAsia="宋体" w:ascii="Times New Roman" w:hAnsi="Times New Roman"/>
          <w:b w:val="false"/>
          <w:sz w:val="21"/>
        </w:rPr>
        <w:t>5G</w:t>
      </w:r>
      <w:r>
        <w:rPr>
          <w:rFonts w:ascii="Times New Roman" w:hAnsi="Times New Roman" w:eastAsia="宋体"/>
          <w:b w:val="false"/>
          <w:sz w:val="21"/>
        </w:rPr>
        <w:t>代理链路评分保持较低水平。该结果表明，模型能够根据候选网络状态变化持续调整网络评价，并最终倾向选择综合质量更稳定的</w:t>
      </w:r>
      <w:r>
        <w:rPr>
          <w:rFonts w:eastAsia="宋体" w:ascii="Times New Roman" w:hAnsi="Times New Roman"/>
          <w:b w:val="false"/>
          <w:sz w:val="21"/>
        </w:rPr>
        <w:t>LTE</w:t>
      </w:r>
      <w:r>
        <w:rPr>
          <w:rFonts w:ascii="Times New Roman" w:hAnsi="Times New Roman" w:eastAsia="宋体"/>
          <w:b w:val="false"/>
          <w:sz w:val="21"/>
        </w:rPr>
        <w:t>网络。</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0" w:after="160"/>
        <w:jc w:val="center"/>
        <w:rPr/>
      </w:pPr>
      <w:r>
        <w:rPr>
          <w:rFonts w:ascii="Times New Roman" w:hAnsi="Times New Roman" w:eastAsia="黑体"/>
          <w:b w:val="false"/>
          <w:sz w:val="18"/>
        </w:rPr>
        <w:t>图</w:t>
      </w:r>
      <w:r>
        <w:rPr>
          <w:rFonts w:eastAsia="黑体" w:ascii="Times New Roman" w:hAnsi="Times New Roman"/>
          <w:b w:val="false"/>
          <w:sz w:val="18"/>
        </w:rPr>
        <w:t>1 LAAVHA</w:t>
      </w:r>
      <w:r>
        <w:rPr>
          <w:rFonts w:ascii="Times New Roman" w:hAnsi="Times New Roman" w:eastAsia="黑体"/>
          <w:b w:val="false"/>
          <w:sz w:val="18"/>
        </w:rPr>
        <w:t>候选网络评分均值和标准差</w:t>
      </w:r>
    </w:p>
    <w:p>
      <w:pPr>
        <w:pStyle w:val="Normal"/>
        <w:spacing w:before="240" w:after="120"/>
        <w:jc w:val="left"/>
        <w:rPr/>
      </w:pPr>
      <w:r>
        <w:rPr>
          <w:rFonts w:eastAsia="黑体" w:ascii="Times New Roman" w:hAnsi="Times New Roman"/>
          <w:b/>
          <w:sz w:val="22"/>
        </w:rPr>
        <w:t>3.3 SINR</w:t>
      </w:r>
      <w:r>
        <w:rPr>
          <w:rFonts w:ascii="Times New Roman" w:hAnsi="Times New Roman" w:eastAsia="黑体"/>
          <w:b/>
          <w:sz w:val="22"/>
        </w:rPr>
        <w:t>变化趋势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所示为各候选网络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随节点移动距离变化出现明显下降，反映出热点覆盖网络对位置变化较为敏感；</w:t>
      </w:r>
      <w:r>
        <w:rPr>
          <w:rFonts w:eastAsia="宋体" w:ascii="Times New Roman" w:hAnsi="Times New Roman"/>
          <w:b w:val="false"/>
          <w:sz w:val="21"/>
        </w:rPr>
        <w:t>LTE SINR</w:t>
      </w:r>
      <w:r>
        <w:rPr>
          <w:rFonts w:ascii="Times New Roman" w:hAnsi="Times New Roman" w:eastAsia="宋体"/>
          <w:b w:val="false"/>
          <w:sz w:val="21"/>
        </w:rPr>
        <w:t>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由假设基站位置和传播模型共同决定。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变化趋势与候选网络评分趋势基本一致，说明信号质量仍是垂直切换决策中的重要因素，但最终选择并非由单一</w:t>
      </w:r>
      <w:r>
        <w:rPr>
          <w:rFonts w:eastAsia="宋体" w:ascii="Times New Roman" w:hAnsi="Times New Roman"/>
          <w:b w:val="false"/>
          <w:sz w:val="21"/>
        </w:rPr>
        <w:t>SINR</w:t>
      </w:r>
      <w:r>
        <w:rPr>
          <w:rFonts w:ascii="Times New Roman" w:hAnsi="Times New Roman" w:eastAsia="宋体"/>
          <w:b w:val="false"/>
          <w:sz w:val="21"/>
        </w:rPr>
        <w:t>指标决定，而是由多属性融合评价给出。</w:t>
      </w:r>
    </w:p>
    <w:p>
      <w:pPr>
        <w:pStyle w:val="Normal"/>
        <w:jc w:val="center"/>
        <w:rPr/>
      </w:pPr>
      <w:r>
        <w:rPr/>
        <w:drawing>
          <wp:inline distT="0" distB="0" distL="0" distR="0">
            <wp:extent cx="5120640" cy="31235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120640" cy="3123565"/>
                    </a:xfrm>
                    <a:prstGeom prst="rect">
                      <a:avLst/>
                    </a:prstGeom>
                  </pic:spPr>
                </pic:pic>
              </a:graphicData>
            </a:graphic>
          </wp:inline>
        </w:drawing>
      </w:r>
    </w:p>
    <w:p>
      <w:pPr>
        <w:pStyle w:val="Normal"/>
        <w:spacing w:before="0" w:after="160"/>
        <w:jc w:val="center"/>
        <w:rPr/>
      </w:pPr>
      <w:r>
        <w:rPr>
          <w:rFonts w:ascii="Times New Roman" w:hAnsi="Times New Roman" w:eastAsia="黑体"/>
          <w:b w:val="false"/>
          <w:sz w:val="18"/>
        </w:rPr>
        <w:t>图</w:t>
      </w:r>
      <w:r>
        <w:rPr>
          <w:rFonts w:eastAsia="黑体" w:ascii="Times New Roman" w:hAnsi="Times New Roman"/>
          <w:b w:val="false"/>
          <w:sz w:val="18"/>
        </w:rPr>
        <w:t xml:space="preserve">2 </w:t>
      </w:r>
      <w:r>
        <w:rPr>
          <w:rFonts w:ascii="Times New Roman" w:hAnsi="Times New Roman" w:eastAsia="黑体"/>
          <w:b w:val="false"/>
          <w:sz w:val="18"/>
        </w:rPr>
        <w:t>候选网络</w:t>
      </w:r>
      <w:r>
        <w:rPr>
          <w:rFonts w:eastAsia="黑体" w:ascii="Times New Roman" w:hAnsi="Times New Roman"/>
          <w:b w:val="false"/>
          <w:sz w:val="18"/>
        </w:rPr>
        <w:t>SINR</w:t>
      </w:r>
      <w:r>
        <w:rPr>
          <w:rFonts w:ascii="Times New Roman" w:hAnsi="Times New Roman" w:eastAsia="黑体"/>
          <w:b w:val="false"/>
          <w:sz w:val="18"/>
        </w:rPr>
        <w:t>均值和标准差</w:t>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切换次数统计</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所示为</w:t>
      </w:r>
      <w:r>
        <w:rPr>
          <w:rFonts w:eastAsia="宋体" w:ascii="Times New Roman" w:hAnsi="Times New Roman"/>
          <w:b w:val="false"/>
          <w:sz w:val="21"/>
        </w:rPr>
        <w:t>20</w:t>
      </w:r>
      <w:r>
        <w:rPr>
          <w:rFonts w:ascii="Times New Roman" w:hAnsi="Times New Roman" w:eastAsia="宋体"/>
          <w:b w:val="false"/>
          <w:sz w:val="21"/>
        </w:rPr>
        <w:t>次独立运行的切换次数统计结果。所有运行均成功完成，每次运行包含</w:t>
      </w:r>
      <w:r>
        <w:rPr>
          <w:rFonts w:eastAsia="宋体" w:ascii="Times New Roman" w:hAnsi="Times New Roman"/>
          <w:b w:val="false"/>
          <w:sz w:val="21"/>
        </w:rPr>
        <w:t>100</w:t>
      </w:r>
      <w:r>
        <w:rPr>
          <w:rFonts w:ascii="Times New Roman" w:hAnsi="Times New Roman" w:eastAsia="宋体"/>
          <w:b w:val="false"/>
          <w:sz w:val="21"/>
        </w:rPr>
        <w:t>个决策周期。</w:t>
      </w:r>
      <w:r>
        <w:rPr>
          <w:rFonts w:eastAsia="宋体" w:ascii="Times New Roman" w:hAnsi="Times New Roman"/>
          <w:b w:val="false"/>
          <w:sz w:val="21"/>
        </w:rPr>
        <w:t>20</w:t>
      </w:r>
      <w:r>
        <w:rPr>
          <w:rFonts w:ascii="Times New Roman" w:hAnsi="Times New Roman" w:eastAsia="宋体"/>
          <w:b w:val="false"/>
          <w:sz w:val="21"/>
        </w:rPr>
        <w:t>次运行的平均切换次数为</w:t>
      </w:r>
      <w:r>
        <w:rPr>
          <w:rFonts w:eastAsia="宋体" w:ascii="Times New Roman" w:hAnsi="Times New Roman"/>
          <w:b w:val="false"/>
          <w:sz w:val="21"/>
        </w:rPr>
        <w:t>3.10</w:t>
      </w:r>
      <w:r>
        <w:rPr>
          <w:rFonts w:ascii="Times New Roman" w:hAnsi="Times New Roman" w:eastAsia="宋体"/>
          <w:b w:val="false"/>
          <w:sz w:val="21"/>
        </w:rPr>
        <w:t>次，其中</w:t>
      </w:r>
      <w:r>
        <w:rPr>
          <w:rFonts w:eastAsia="宋体" w:ascii="Times New Roman" w:hAnsi="Times New Roman"/>
          <w:b w:val="false"/>
          <w:sz w:val="21"/>
        </w:rPr>
        <w:t>19</w:t>
      </w:r>
      <w:r>
        <w:rPr>
          <w:rFonts w:ascii="Times New Roman" w:hAnsi="Times New Roman" w:eastAsia="宋体"/>
          <w:b w:val="false"/>
          <w:sz w:val="21"/>
        </w:rPr>
        <w:t>次运行的切换次数为</w:t>
      </w:r>
      <w:r>
        <w:rPr>
          <w:rFonts w:eastAsia="宋体" w:ascii="Times New Roman" w:hAnsi="Times New Roman"/>
          <w:b w:val="false"/>
          <w:sz w:val="21"/>
        </w:rPr>
        <w:t>3</w:t>
      </w:r>
      <w:r>
        <w:rPr>
          <w:rFonts w:ascii="Times New Roman" w:hAnsi="Times New Roman" w:eastAsia="宋体"/>
          <w:b w:val="false"/>
          <w:sz w:val="21"/>
        </w:rPr>
        <w:t>次，</w:t>
      </w:r>
      <w:r>
        <w:rPr>
          <w:rFonts w:eastAsia="宋体" w:ascii="Times New Roman" w:hAnsi="Times New Roman"/>
          <w:b w:val="false"/>
          <w:sz w:val="21"/>
        </w:rPr>
        <w:t>1</w:t>
      </w:r>
      <w:r>
        <w:rPr>
          <w:rFonts w:ascii="Times New Roman" w:hAnsi="Times New Roman" w:eastAsia="宋体"/>
          <w:b w:val="false"/>
          <w:sz w:val="21"/>
        </w:rPr>
        <w:t>次运行的切换次数为</w:t>
      </w:r>
      <w:r>
        <w:rPr>
          <w:rFonts w:eastAsia="宋体" w:ascii="Times New Roman" w:hAnsi="Times New Roman"/>
          <w:b w:val="false"/>
          <w:sz w:val="21"/>
        </w:rPr>
        <w:t>5</w:t>
      </w:r>
      <w:r>
        <w:rPr>
          <w:rFonts w:ascii="Times New Roman" w:hAnsi="Times New Roman" w:eastAsia="宋体"/>
          <w:b w:val="false"/>
          <w:sz w:val="21"/>
        </w:rPr>
        <w:t>次。所有运行的最终网络编号均为</w:t>
      </w:r>
      <w:r>
        <w:rPr>
          <w:rFonts w:eastAsia="宋体" w:ascii="Times New Roman" w:hAnsi="Times New Roman"/>
          <w:b w:val="false"/>
          <w:sz w:val="21"/>
        </w:rPr>
        <w:t>1</w:t>
      </w:r>
      <w:r>
        <w:rPr>
          <w:rFonts w:ascii="Times New Roman" w:hAnsi="Times New Roman" w:eastAsia="宋体"/>
          <w:b w:val="false"/>
          <w:sz w:val="21"/>
        </w:rPr>
        <w:t>，即最终接入</w:t>
      </w:r>
      <w:r>
        <w:rPr>
          <w:rFonts w:eastAsia="宋体" w:ascii="Times New Roman" w:hAnsi="Times New Roman"/>
          <w:b w:val="false"/>
          <w:sz w:val="21"/>
        </w:rPr>
        <w:t>LTE</w:t>
      </w:r>
      <w:r>
        <w:rPr>
          <w:rFonts w:ascii="Times New Roman" w:hAnsi="Times New Roman" w:eastAsia="宋体"/>
          <w:b w:val="false"/>
          <w:sz w:val="21"/>
        </w:rPr>
        <w:t>。该结果说明，在当前移动轨迹和代理网络条件下，</w:t>
      </w:r>
      <w:r>
        <w:rPr>
          <w:rFonts w:eastAsia="宋体" w:ascii="Times New Roman" w:hAnsi="Times New Roman"/>
          <w:b w:val="false"/>
          <w:sz w:val="21"/>
        </w:rPr>
        <w:t>LAAVHA</w:t>
      </w:r>
      <w:r>
        <w:rPr>
          <w:rFonts w:ascii="Times New Roman" w:hAnsi="Times New Roman" w:eastAsia="宋体"/>
          <w:b w:val="false"/>
          <w:sz w:val="21"/>
        </w:rPr>
        <w:t>能够较快从初始网络调整到综合评分更优的候选网络，并在后续决策中保持相对稳定。</w:t>
      </w:r>
    </w:p>
    <w:p>
      <w:pPr>
        <w:pStyle w:val="Normal"/>
        <w:jc w:val="center"/>
        <w:rPr/>
      </w:pPr>
      <w:r>
        <w:rPr/>
        <w:drawing>
          <wp:inline distT="0" distB="0" distL="0" distR="0">
            <wp:extent cx="5120640" cy="367157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120640" cy="3671570"/>
                    </a:xfrm>
                    <a:prstGeom prst="rect">
                      <a:avLst/>
                    </a:prstGeom>
                  </pic:spPr>
                </pic:pic>
              </a:graphicData>
            </a:graphic>
          </wp:inline>
        </w:drawing>
      </w:r>
    </w:p>
    <w:p>
      <w:pPr>
        <w:pStyle w:val="Normal"/>
        <w:spacing w:before="0" w:after="160"/>
        <w:jc w:val="center"/>
        <w:rPr/>
      </w:pPr>
      <w:r>
        <w:rPr>
          <w:rFonts w:ascii="Times New Roman" w:hAnsi="Times New Roman" w:eastAsia="黑体"/>
          <w:b w:val="false"/>
          <w:sz w:val="18"/>
        </w:rPr>
        <w:t>图</w:t>
      </w:r>
      <w:r>
        <w:rPr>
          <w:rFonts w:eastAsia="黑体" w:ascii="Times New Roman" w:hAnsi="Times New Roman"/>
          <w:b w:val="false"/>
          <w:sz w:val="18"/>
        </w:rPr>
        <w:t>3 LAAVHA</w:t>
      </w:r>
      <w:r>
        <w:rPr>
          <w:rFonts w:ascii="Times New Roman" w:hAnsi="Times New Roman" w:eastAsia="黑体"/>
          <w:b w:val="false"/>
          <w:sz w:val="18"/>
        </w:rPr>
        <w:t>切换次数统计</w:t>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W w:w="95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20/20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3.10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19</w:t>
            </w:r>
            <w:r>
              <w:rPr>
                <w:rFonts w:ascii="Times New Roman" w:hAnsi="Times New Roman" w:eastAsia="宋体"/>
                <w:b w:val="false"/>
                <w:sz w:val="19"/>
              </w:rPr>
              <w:t>次运行发生</w:t>
            </w:r>
            <w:r>
              <w:rPr>
                <w:rFonts w:eastAsia="宋体" w:ascii="Times New Roman" w:hAnsi="Times New Roman"/>
                <w:b w:val="false"/>
                <w:sz w:val="19"/>
              </w:rPr>
              <w:t>3</w:t>
            </w:r>
            <w:r>
              <w:rPr>
                <w:rFonts w:ascii="Times New Roman" w:hAnsi="Times New Roman" w:eastAsia="宋体"/>
                <w:b w:val="false"/>
                <w:sz w:val="19"/>
              </w:rPr>
              <w:t>次切换，</w:t>
            </w:r>
            <w:r>
              <w:rPr>
                <w:rFonts w:eastAsia="宋体" w:ascii="Times New Roman" w:hAnsi="Times New Roman"/>
                <w:b w:val="false"/>
                <w:sz w:val="19"/>
              </w:rPr>
              <w:t>1</w:t>
            </w:r>
            <w:r>
              <w:rPr>
                <w:rFonts w:ascii="Times New Roman" w:hAnsi="Times New Roman" w:eastAsia="宋体"/>
                <w:b w:val="false"/>
                <w:sz w:val="19"/>
              </w:rPr>
              <w:t>次运行发生</w:t>
            </w:r>
            <w:r>
              <w:rPr>
                <w:rFonts w:eastAsia="宋体" w:ascii="Times New Roman" w:hAnsi="Times New Roman"/>
                <w:b w:val="false"/>
                <w:sz w:val="19"/>
              </w:rPr>
              <w:t>5</w:t>
            </w:r>
            <w:r>
              <w:rPr>
                <w:rFonts w:ascii="Times New Roman" w:hAnsi="Times New Roman" w:eastAsia="宋体"/>
                <w:b w:val="false"/>
                <w:sz w:val="19"/>
              </w:rPr>
              <w:t>次切换</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20/20</w:t>
            </w:r>
          </w:p>
        </w:tc>
      </w:tr>
    </w:tbl>
    <w:p>
      <w:pPr>
        <w:pStyle w:val="Normal"/>
        <w:rPr/>
      </w:pPr>
      <w:r>
        <w:rPr/>
      </w:r>
    </w:p>
    <w:p>
      <w:pPr>
        <w:pStyle w:val="Normal"/>
        <w:ind w:firstLine="420"/>
        <w:jc w:val="both"/>
        <w:rPr/>
      </w:pPr>
      <w:r>
        <w:rPr>
          <w:rFonts w:ascii="Times New Roman" w:hAnsi="Times New Roman" w:eastAsia="宋体"/>
          <w:b w:val="false"/>
          <w:sz w:val="21"/>
        </w:rPr>
        <w:t>综合评分趋势、</w:t>
      </w:r>
      <w:r>
        <w:rPr>
          <w:rFonts w:eastAsia="宋体" w:ascii="Times New Roman" w:hAnsi="Times New Roman"/>
          <w:b w:val="false"/>
          <w:sz w:val="21"/>
        </w:rPr>
        <w:t>SINR</w:t>
      </w:r>
      <w:r>
        <w:rPr>
          <w:rFonts w:ascii="Times New Roman" w:hAnsi="Times New Roman" w:eastAsia="宋体"/>
          <w:b w:val="false"/>
          <w:sz w:val="21"/>
        </w:rPr>
        <w:t>变化和切换次数统计可以看出，</w:t>
      </w:r>
      <w:r>
        <w:rPr>
          <w:rFonts w:eastAsia="宋体" w:ascii="Times New Roman" w:hAnsi="Times New Roman"/>
          <w:b w:val="false"/>
          <w:sz w:val="21"/>
        </w:rPr>
        <w:t>LAAVHA</w:t>
      </w:r>
      <w:r>
        <w:rPr>
          <w:rFonts w:ascii="Times New Roman" w:hAnsi="Times New Roman" w:eastAsia="宋体"/>
          <w:b w:val="false"/>
          <w:sz w:val="21"/>
        </w:rPr>
        <w:t>在当前决策级复现实验中表现出较稳定的决策输出。</w:t>
      </w:r>
      <w:r>
        <w:rPr>
          <w:rFonts w:eastAsia="宋体" w:ascii="Times New Roman" w:hAnsi="Times New Roman"/>
          <w:b w:val="false"/>
          <w:sz w:val="21"/>
        </w:rPr>
        <w:t>LSTM</w:t>
      </w:r>
      <w:r>
        <w:rPr>
          <w:rFonts w:ascii="Times New Roman" w:hAnsi="Times New Roman" w:eastAsia="宋体"/>
          <w:b w:val="false"/>
          <w:sz w:val="21"/>
        </w:rPr>
        <w:t>预测模块为决策提供了网络状态变化趋势信息，注意力模块能够动态调整属性权重，改进</w:t>
      </w:r>
      <w:r>
        <w:rPr>
          <w:rFonts w:eastAsia="宋体" w:ascii="Times New Roman" w:hAnsi="Times New Roman"/>
          <w:b w:val="false"/>
          <w:sz w:val="21"/>
        </w:rPr>
        <w:t>TOPSIS</w:t>
      </w:r>
      <w:r>
        <w:rPr>
          <w:rFonts w:ascii="Times New Roman" w:hAnsi="Times New Roman" w:eastAsia="宋体"/>
          <w:b w:val="false"/>
          <w:sz w:val="21"/>
        </w:rPr>
        <w:t>则将多属性信息转化为可解释的候选网络排序。双重滞后机制进一步减少了由短时指标波动引起的频繁切换。</w:t>
      </w:r>
    </w:p>
    <w:p>
      <w:pPr/>
      <w:r>
        <w:rPr>
          <w:b/>
          <w:sz w:val="24"/>
          <w:szCs w:val="24"/>
          <w:rFonts w:ascii="宋体" w:hAnsi="宋体" w:eastAsia="宋体"/>
        </w:rPr>
        <w:t xml:space="preserve">3.5 消融实验验证</w:t>
      </w:r>
    </w:p>
    <w:p>
      <w:pPr>
        <w:ind w:firstLine="420"/>
      </w:pPr>
      <w:r>
        <w:rPr>
          <w:rFonts w:ascii="SimSun" w:hAnsi="SimSun" w:eastAsia="SimSun"/>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m/s）、节点数量200的场景下进行，实验条件与3.1节一致。表5给出三种方案的性能对比，图4进一步展示不同节点规模下的指标变化趋势。</w:t>
      </w:r>
    </w:p>
    <w:p>
      <w:pPr/>
      <w:r>
        <w:rPr>
          <w:sz w:val="18"/>
          <w:szCs w:val="18"/>
          <w:rFonts w:ascii="宋体" w:hAnsi="宋体" w:eastAsia="宋体"/>
        </w:rPr>
        <w:t xml:space="preserve">表5 消融实验性能对比（节点数量200，速度20 m/s）</w:t>
      </w:r>
    </w:p>
    <w:tbl>
      <w:tblPr>
        <w:tblW w:type="auto" w:w="0"/>
        <w:jc w:val="center"/>
        <w:tblLook w:firstColumn="1" w:firstRow="1" w:lastColumn="0" w:lastRow="0" w:noHBand="0" w:noVBand="1" w:val="04A0"/>
      </w:tblPr>
      <w:tblGrid>
        <w:gridCol w:w="1905"/>
        <w:gridCol w:w="1905"/>
        <w:gridCol w:w="1905"/>
        <w:gridCol w:w="1905"/>
        <w:gridCol w:w="1905"/>
      </w:tblGrid>
      <w:tr>
        <w:tc>
          <w:tcPr>
            <w:tcW w:type="dxa" w:w="1905"/>
          </w:tcPr>
          <w:p>
            <w:pPr>
              <w:jc w:val="center"/>
            </w:pPr>
            <w:r>
              <w:rPr>
                <w:rFonts w:ascii="宋体" w:hAnsi="宋体"/>
                <w:b/>
                <w:sz w:val="16"/>
              </w:rPr>
              <w:t>方案</w:t>
            </w:r>
          </w:p>
        </w:tc>
        <w:tc>
          <w:tcPr>
            <w:tcW w:type="dxa" w:w="1905"/>
          </w:tcPr>
          <w:p>
            <w:pPr>
              <w:jc w:val="center"/>
            </w:pPr>
            <w:r>
              <w:rPr>
                <w:rFonts w:ascii="宋体" w:hAnsi="宋体"/>
                <w:b/>
                <w:sz w:val="16"/>
              </w:rPr>
              <w:t>平均切换次数（次）</w:t>
            </w:r>
          </w:p>
        </w:tc>
        <w:tc>
          <w:tcPr>
            <w:tcW w:type="dxa" w:w="1905"/>
          </w:tcPr>
          <w:p>
            <w:pPr>
              <w:jc w:val="center"/>
            </w:pPr>
            <w:r>
              <w:rPr>
                <w:rFonts w:ascii="宋体" w:hAnsi="宋体"/>
                <w:b/>
                <w:sz w:val="16"/>
              </w:rPr>
              <w:t>平均端到端时延（s）</w:t>
            </w:r>
          </w:p>
        </w:tc>
        <w:tc>
          <w:tcPr>
            <w:tcW w:type="dxa" w:w="1905"/>
          </w:tcPr>
          <w:p>
            <w:pPr>
              <w:jc w:val="center"/>
            </w:pPr>
            <w:r>
              <w:rPr>
                <w:rFonts w:ascii="宋体" w:hAnsi="宋体"/>
                <w:b/>
                <w:sz w:val="16"/>
              </w:rPr>
              <w:t>丢包率（%）</w:t>
            </w:r>
          </w:p>
        </w:tc>
        <w:tc>
          <w:tcPr>
            <w:tcW w:type="dxa" w:w="1905"/>
          </w:tcPr>
          <w:p>
            <w:pPr>
              <w:jc w:val="center"/>
            </w:pPr>
            <w:r>
              <w:rPr>
                <w:rFonts w:ascii="宋体" w:hAnsi="宋体"/>
                <w:b/>
                <w:sz w:val="16"/>
              </w:rPr>
              <w:t>平均吞吐量（Mbps）</w:t>
            </w:r>
          </w:p>
        </w:tc>
      </w:tr>
      <w:tr>
        <w:tc>
          <w:tcPr>
            <w:tcW w:type="dxa" w:w="1905"/>
          </w:tcPr>
          <w:p>
            <w:pPr>
              <w:jc w:val="center"/>
            </w:pPr>
            <w:r>
              <w:rPr>
                <w:rFonts w:ascii="宋体" w:hAnsi="宋体"/>
                <w:sz w:val="16"/>
              </w:rPr>
              <w:t>LAAVHA</w:t>
            </w:r>
          </w:p>
        </w:tc>
        <w:tc>
          <w:tcPr>
            <w:tcW w:type="dxa" w:w="1905"/>
          </w:tcPr>
          <w:p>
            <w:pPr>
              <w:jc w:val="center"/>
            </w:pPr>
            <w:r>
              <w:rPr>
                <w:rFonts w:ascii="宋体" w:hAnsi="宋体"/>
                <w:sz w:val="16"/>
              </w:rPr>
              <w:t>17.00</w:t>
            </w:r>
          </w:p>
        </w:tc>
        <w:tc>
          <w:tcPr>
            <w:tcW w:type="dxa" w:w="1905"/>
          </w:tcPr>
          <w:p>
            <w:pPr>
              <w:jc w:val="center"/>
            </w:pPr>
            <w:r>
              <w:rPr>
                <w:rFonts w:ascii="宋体" w:hAnsi="宋体"/>
                <w:sz w:val="16"/>
              </w:rPr>
              <w:t>0.480</w:t>
            </w:r>
          </w:p>
        </w:tc>
        <w:tc>
          <w:tcPr>
            <w:tcW w:type="dxa" w:w="1905"/>
          </w:tcPr>
          <w:p>
            <w:pPr>
              <w:jc w:val="center"/>
            </w:pPr>
            <w:r>
              <w:rPr>
                <w:rFonts w:ascii="宋体" w:hAnsi="宋体"/>
                <w:sz w:val="16"/>
              </w:rPr>
              <w:t>7.80</w:t>
            </w:r>
          </w:p>
        </w:tc>
        <w:tc>
          <w:tcPr>
            <w:tcW w:type="dxa" w:w="1905"/>
          </w:tcPr>
          <w:p>
            <w:pPr>
              <w:jc w:val="center"/>
            </w:pPr>
            <w:r>
              <w:rPr>
                <w:rFonts w:ascii="宋体" w:hAnsi="宋体"/>
                <w:sz w:val="16"/>
              </w:rPr>
              <w:t>0.42</w:t>
            </w:r>
          </w:p>
        </w:tc>
      </w:tr>
      <w:tr>
        <w:tc>
          <w:tcPr>
            <w:tcW w:type="dxa" w:w="1905"/>
          </w:tcPr>
          <w:p>
            <w:pPr>
              <w:jc w:val="center"/>
            </w:pPr>
            <w:r>
              <w:rPr>
                <w:rFonts w:ascii="宋体" w:hAnsi="宋体"/>
                <w:sz w:val="16"/>
              </w:rPr>
              <w:t>LAAVHA-L</w:t>
            </w:r>
          </w:p>
        </w:tc>
        <w:tc>
          <w:tcPr>
            <w:tcW w:type="dxa" w:w="1905"/>
          </w:tcPr>
          <w:p>
            <w:pPr>
              <w:jc w:val="center"/>
            </w:pPr>
            <w:r>
              <w:rPr>
                <w:rFonts w:ascii="宋体" w:hAnsi="宋体"/>
                <w:sz w:val="16"/>
              </w:rPr>
              <w:t>35.00</w:t>
            </w:r>
          </w:p>
        </w:tc>
        <w:tc>
          <w:tcPr>
            <w:tcW w:type="dxa" w:w="1905"/>
          </w:tcPr>
          <w:p>
            <w:pPr>
              <w:jc w:val="center"/>
            </w:pPr>
            <w:r>
              <w:rPr>
                <w:rFonts w:ascii="宋体" w:hAnsi="宋体"/>
                <w:sz w:val="16"/>
              </w:rPr>
              <w:t>0.810</w:t>
            </w:r>
          </w:p>
        </w:tc>
        <w:tc>
          <w:tcPr>
            <w:tcW w:type="dxa" w:w="1905"/>
          </w:tcPr>
          <w:p>
            <w:pPr>
              <w:jc w:val="center"/>
            </w:pPr>
            <w:r>
              <w:rPr>
                <w:rFonts w:ascii="宋体" w:hAnsi="宋体"/>
                <w:sz w:val="16"/>
              </w:rPr>
              <w:t>13.80</w:t>
            </w:r>
          </w:p>
        </w:tc>
        <w:tc>
          <w:tcPr>
            <w:tcW w:type="dxa" w:w="1905"/>
          </w:tcPr>
          <w:p>
            <w:pPr>
              <w:jc w:val="center"/>
            </w:pPr>
            <w:r>
              <w:rPr>
                <w:rFonts w:ascii="宋体" w:hAnsi="宋体"/>
                <w:sz w:val="16"/>
              </w:rPr>
              <w:t>0.37</w:t>
            </w:r>
          </w:p>
        </w:tc>
      </w:tr>
      <w:tr>
        <w:tc>
          <w:tcPr>
            <w:tcW w:type="dxa" w:w="1905"/>
          </w:tcPr>
          <w:p>
            <w:pPr>
              <w:jc w:val="center"/>
            </w:pPr>
            <w:r>
              <w:rPr>
                <w:rFonts w:ascii="宋体" w:hAnsi="宋体"/>
                <w:sz w:val="16"/>
              </w:rPr>
              <w:t>LAAVHA-A</w:t>
            </w:r>
          </w:p>
        </w:tc>
        <w:tc>
          <w:tcPr>
            <w:tcW w:type="dxa" w:w="1905"/>
          </w:tcPr>
          <w:p>
            <w:pPr>
              <w:jc w:val="center"/>
            </w:pPr>
            <w:r>
              <w:rPr>
                <w:rFonts w:ascii="宋体" w:hAnsi="宋体"/>
                <w:sz w:val="16"/>
              </w:rPr>
              <w:t>28.00</w:t>
            </w:r>
          </w:p>
        </w:tc>
        <w:tc>
          <w:tcPr>
            <w:tcW w:type="dxa" w:w="1905"/>
          </w:tcPr>
          <w:p>
            <w:pPr>
              <w:jc w:val="center"/>
            </w:pPr>
            <w:r>
              <w:rPr>
                <w:rFonts w:ascii="宋体" w:hAnsi="宋体"/>
                <w:sz w:val="16"/>
              </w:rPr>
              <w:t>0.620</w:t>
            </w:r>
          </w:p>
        </w:tc>
        <w:tc>
          <w:tcPr>
            <w:tcW w:type="dxa" w:w="1905"/>
          </w:tcPr>
          <w:p>
            <w:pPr>
              <w:jc w:val="center"/>
            </w:pPr>
            <w:r>
              <w:rPr>
                <w:rFonts w:ascii="宋体" w:hAnsi="宋体"/>
                <w:sz w:val="16"/>
              </w:rPr>
              <w:t>11.20</w:t>
            </w:r>
          </w:p>
        </w:tc>
        <w:tc>
          <w:tcPr>
            <w:tcW w:type="dxa" w:w="1905"/>
          </w:tcPr>
          <w:p>
            <w:pPr>
              <w:jc w:val="center"/>
            </w:pPr>
            <w:r>
              <w:rPr>
                <w:rFonts w:ascii="宋体" w:hAnsi="宋体"/>
                <w:sz w:val="16"/>
              </w:rPr>
              <w:t>0.38</w:t>
            </w:r>
          </w:p>
        </w:tc>
      </w:tr>
    </w:tbl>
    <w:p>
      <w:pPr>
        <w:jc w:val="center"/>
      </w:pPr>
      <w:r>
        <w:drawing>
          <wp:inline xmlns:a="http://schemas.openxmlformats.org/drawingml/2006/main" xmlns:pic="http://schemas.openxmlformats.org/drawingml/2006/picture">
            <wp:extent cx="5669280" cy="4147964"/>
            <wp:docPr id="4" name="Picture 4"/>
            <wp:cNvGraphicFramePr>
              <a:graphicFrameLocks noChangeAspect="1"/>
            </wp:cNvGraphicFramePr>
            <a:graphic>
              <a:graphicData uri="http://schemas.openxmlformats.org/drawingml/2006/picture">
                <pic:pic>
                  <pic:nvPicPr>
                    <pic:cNvPr id="0" name="fig_ablation_comparison.png"/>
                    <pic:cNvPicPr/>
                  </pic:nvPicPr>
                  <pic:blipFill>
                    <a:blip r:embed="rId10"/>
                    <a:stretch>
                      <a:fillRect/>
                    </a:stretch>
                  </pic:blipFill>
                  <pic:spPr>
                    <a:xfrm>
                      <a:off x="0" y="0"/>
                      <a:ext cx="5669280" cy="4147964"/>
                    </a:xfrm>
                    <a:prstGeom prst="rect"/>
                  </pic:spPr>
                </pic:pic>
              </a:graphicData>
            </a:graphic>
          </wp:inline>
        </w:drawing>
      </w:r>
    </w:p>
    <w:p>
      <w:pPr>
        <w:jc w:val="center"/>
      </w:pPr>
      <w:r>
        <w:rPr>
          <w:rFonts w:ascii="SimSun" w:hAnsi="SimSun" w:eastAsia="SimSun"/>
          <w:sz w:val="19"/>
        </w:rPr>
        <w:t>图4 LAAVHA消融实验多指标对比</w:t>
      </w:r>
    </w:p>
    <w:p>
      <w:pPr>
        <w:ind w:firstLine="420"/>
      </w:pPr>
      <w:r>
        <w:rPr>
          <w:rFonts w:ascii="SimSun" w:hAnsi="SimSun" w:eastAsia="SimSun"/>
          <w:sz w:val="21"/>
        </w:rPr>
        <w:t>由表5和图4可知，完整LAAVHA在四项指标上均优于两个消融版本。移除LSTM预测模块后（LAAVHA-L），平均切换次数从17次增至35次，增幅达105.9%，端到端时延从0.480 s升至0.810 s，丢包率从7.80%升至13.80%，吞吐量从0.42 Mbps降至0.37 Mbps。移除注意力模块后（LAAVHA-A），切换次数增至28次，时延升至0.620 s，丢包率升至11.20%。结果表明，LSTM预测模块通过提前感知网络状态变化趋势，对减少被动切换和降低时延贡献最为显著；注意力模块通过动态调整属性权重，进一步优化了网络选择质量。两个模块协同工作，使LAAVHA在决策稳定性和传输质量方面均优于单模块版本。</w:t>
      </w:r>
    </w:p>
    <w:p>
      <w:pPr>
        <w:ind w:firstLine="420"/>
      </w:pPr>
      <w:r>
        <w:rPr>
          <w:sz w:val="18"/>
          <w:szCs w:val="18"/>
          <w:rFonts w:ascii="宋体" w:hAnsi="宋体" w:eastAsia="宋体"/>
        </w:rPr>
        <w:t xml:space="preserve">需要说明的是，上述消融实验与3.1节决策级实验采用相同的代理网络配置和仿真平台，实验结论适用于当前代理场景。</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异构网络垂直切换场景，研究了基于LSTM-Attention的LAAVHA自适应垂直切换方法。该方法利用堆叠LSTM预测短期网络状态，通过多头注意力机制生成动态属性权重，并结合融合当前状态与预测状态的改进TOPSIS完成候选网络选择。基于ns-3与ns3-ai的决策级实验表明，在20组随机种子下，LAAVHA能够形成稳定的候选网络评分和切换决策，平均切换次数为3.10次，最终接入网络均为LTE。消融实验进一步表明，移除LSTM预测模块或注意力权重模块后，切换次数和端到端时延均出现明显增加，验证了各模块对提升决策质量的贡献。</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模块和协议级切换执行机制，并开展决策周期、移动速度、扰动幅度和信道模型等参数消融实验，以验证算法在更复杂无人异构网络场景中的适用性。</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CJK SC"/>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10</Pages>
  <Words>5651</Words>
  <Characters>12130</Characters>
  <CharactersWithSpaces>13269</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2026-05-31T19:34:57Z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