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3.10次。与TOPSIS-Q、Fuzzy-VHO、SAW及最强信号法等4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four baseline algorithms (TOPSIS-Q, Fuzzy-VHO, SAW,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vehicle）遥感监测系统正广泛应用于灾害评估、农业普查和环境监测等大范围对地观测场景。在此类任务中，单架无人机巡航半径通常达数公里，飞行高度为50~150 m，需定期拍摄高分辨率遥感图像（单张可达数MB）并通过无线链路回传至地面站，同时接收飞行控制指令。由于单一无线网络难以在如此大范围内提供无缝覆盖——WiFi热点覆盖半径通常不超过200 m，LTE基站在郊区部署稀疏，5G网络覆盖尚不完善——无人机在执行一次完整的遥感巡航任务中必然穿越多个网络的覆盖边界</w:t>
      </w:r>
      <w:r>
        <w:rPr>
          <w:rFonts w:ascii="Times New Roman" w:hAnsi="Times New Roman" w:eastAsia="宋体"/>
          <w:b w:val="0"/>
          <w:sz w:val="21"/>
          <w:vertAlign w:val="superscript"/>
        </w:rPr>
        <w:t>[1-2]</w:t>
      </w:r>
      <w:r>
        <w:rPr>
          <w:rFonts w:ascii="Times New Roman" w:hAnsi="Times New Roman" w:eastAsia="宋体"/>
          <w:b w:val="0"/>
          <w:sz w:val="21"/>
        </w:rPr>
        <w:t>。因此，无人节点需要在第五代移动通信（5G, the 5th generation mobile communication）、长期演进（LTE, long term evolution）和无线局域网（WiFi, wireless fidelity）等多种无线接入网络之间按需切换，以保障遥感图像回传和指挥控制链路的连续性</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handover），从而避免图像传输中断、控制指令超时或遥感数据缺失</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为兼顾遥感数据传输的预测性、实时性和可解释性需求，研究了基于LSTM和注意力机制的自适应垂直切换算法LAAVHA（LSTM-attention based adaptive vertical handover algorithm）。该算法利用LSTM捕获网络状态时间序列变化趋势，通过注意力机制根据飞行阶段生成动态属性权重，并结合改进TOPSIS完成候选网络排序。与仅依据当前状态的被动式切换相比，该方法能够在无人机飞入网络覆盖薄弱区域前进行前瞻性切换，避免遥感图像回传中断；与固定权重的多属性决策相比，该方法能够根据飞行阶段（巡航/拍摄回传）和移动状态自适应调整各网络属性的重要性，在保持飞控链路稳定的同时保障图像数据的可靠传输。</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考虑无人机遥感巡航场景：无人机在2000 m×2000 m的任务区域内沿预定航线飞行，飞行高度为50~150 m，巡航速度为5~30 m/s。任务区域内存在5G、LTE和WiFi三种候选接入网络，其覆盖范围与部署密度各不相同——WiFi热点覆盖半径约200 m，部署于地面站和关键拍摄点周边；LTE基站覆盖半径约1~2 km，沿航线稀疏分布；5G基站提供高速率但覆盖尚不连续。无人机在飞行过程中周期性采集各候选网络的状态信息，用于切换决策</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在遥感飞行场景中，上述五个指标从不同维度刻画了候选网络服务遥感任务的能力：当无人机从WiFi热点上空飞向任务区域边缘时，SINR从数十dB单调下降至接近噪声底限，直接反映了信号质量随距离和遮挡的衰减过程，是判断是否触发切换的最直观依据；RSRP表示参考信号接收功率，与SINR共同决定链路预算是否满足解调门限——若RSRP低于接收灵敏度，即使SINR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MB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SINR、RSRP和吞吐量属于效益型指标（数值越大越优），时延和丢包率属于成本型指标（数值越小越优）。为消除各指标量纲差异，采用min-max归一化方法将所有指标映射至[0,1]区间，并使归一化后的值越大表示候选网络在该维度上越优</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在遥感巡航场景中，若仅依据当前时刻指标进行切换决策，无人机可能在高速接近WiFi覆盖边缘时未能提前切换，导致正在回传的图像数据因链路突然中断而丢失</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773DB582">
      <w:pPr>
        <w:ind w:firstLine="420"/>
        <w:jc w:val="both"/>
      </w:pPr>
      <w:r>
        <w:rPr>
          <w:rFonts w:ascii="Times New Roman" w:hAnsi="Times New Roman" w:eastAsia="宋体"/>
          <w:b w:val="0"/>
          <w:sz w:val="21"/>
        </w:rPr>
        <w:t>设时间窗口长度为T，第i个候选网络的历史输入序列为</w:t>
      </w:r>
    </w:p>
    <w:p>
      <w:pPr>
        <w:jc w:val="center"/>
        <w:spacing w:before="60" w:after="60"/>
      </w:pPr>
      <w:r>
        <w:rPr>
          <w:rFonts w:ascii="Times New Roman" w:hAnsi="Times New Roman" w:eastAsia="宋体"/>
          <w:b w:val="0"/>
          <w:sz w:val="20"/>
          <w:i/>
        </w:rPr>
        <w:t xml:space="preserve">h_{1,k} = LSTM1(Xk; th1),   h_{1,k} in R^{10x128}                    (2)</w:t>
        <w:br/>
        <w:t xml:space="preserve">h_{2,k} = LSTM2(h_{1,k}; th2),   h_{2,k} in R^{10x64}                 (3)</w:t>
        <w:br/>
        <w:t xml:space="preserve">s_k(t+Dt) = W_pred * h_{2,k}[-1] + b_pred,   s_k in R^5              (4)</w:t>
      </w:r>
    </w:p>
    <w:p>
      <w:pPr>
        <w:ind w:firstLine="420"/>
        <w:jc w:val="both"/>
      </w:pPr>
      <w:r>
        <w:rPr>
          <w:rFonts w:ascii="Times New Roman" w:hAnsi="Times New Roman" w:eastAsia="宋体"/>
          <w:b w:val="0"/>
          <w:sz w:val="21"/>
        </w:rPr>
        <w:t>式(2)-(4)完整刻画了预测分支的维度变换：10步x5维指标 → LSTM1(5→128) → LSTM2(128→64) → fc_pred(64→5)。三个候选网络共享同一组LSTM参数，各自独立输入历史序列，预测结果堆叠为S_pred in R^{3x5}——即5G、LTE、WiFi各自下一时刻的五项指标预测值。</w:t>
      </w:r>
    </w:p>
    <w:p w14:paraId="265F1FC8">
      <w:pPr>
        <w:spacing w:before="240" w:after="120"/>
        <w:jc w:val="left"/>
      </w:pPr>
      <w:r>
        <w:rPr>
          <w:rFonts w:ascii="Times New Roman" w:hAnsi="Times New Roman" w:eastAsia="黑体"/>
          <w:b/>
          <w:sz w:val="22"/>
        </w:rPr>
        <w:t>2.2 面向飞行阶段的动态权重生成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为解决固定权重无法匹配遥感飞行中不同阶段需求差异的问题，LAAVHA引入自注意力机制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pPr>
        <w:jc w:val="center"/>
        <w:spacing w:before="60" w:after="60"/>
      </w:pPr>
      <w:r>
        <w:rPr>
          <w:rFonts w:ascii="Times New Roman" w:hAnsi="Times New Roman" w:eastAsia="宋体"/>
          <w:b w:val="0"/>
          <w:sz w:val="20"/>
          <w:i/>
        </w:rPr>
        <w:t xml:space="preserve">Q = K = V = S_cur in R^{3x5}                                            (5)</w:t>
        <w:br/>
        <w:t xml:space="preserve">A = Attention(Q,K,V) = softmax(QK^T/sqrt(5))*V,   A in R^{3x5}         (6)</w:t>
        <w:br/>
        <w:t xml:space="preserve">c = mean(A, dim=0) in R^5                                                  (7)</w:t>
        <w:br/>
        <w:t xml:space="preserve">m = ReLU(W_mob * [v, h]^T),   W_mob: R^2 → R^16,   m in R^16             (8)</w:t>
        <w:br/>
        <w:t xml:space="preserve">w = softmax(W_weight * [c||m]),   W_weight: R^21 → R^5,   w in R^5,   Sw_j=1  (9)</w:t>
      </w:r>
    </w:p>
    <w:p>
      <w:pPr>
        <w:ind w:firstLine="420"/>
        <w:jc w:val="both"/>
      </w:pPr>
      <w:r>
        <w:rPr>
          <w:rFonts w:ascii="Times New Roman" w:hAnsi="Times New Roman" w:eastAsia="宋体"/>
          <w:b w:val="0"/>
          <w:sz w:val="21"/>
        </w:rPr>
        <w:t>式(5)-(9)描述了动态权重的完整生成过程：以当前时刻网络状态S_cur in R^{3x5}为自注意力输入(5)，缩放点积注意力获得3x5注意力矩阵A(6)；跨网络均值池化得到5维属性级上下文c(7)；W_mob:2→16将速度和高度映射为16维移动特征m引入飞行状态(8)；最后拼接为21维经W_weight投影和softmax归一化输出5维动态权重w(9)。</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在遥感巡航场景中，候选网络的优劣需要综合权衡信号强度、传输能力与可靠性三个维度——不存在单一指标最优的"完美网络"。TOPSIS的基本思想是将各候选网络在多维属性空间中的位置与虚拟的"最优网络"和"最劣网络"进行比较</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pPr>
        <w:jc w:val="center"/>
        <w:spacing w:before="60" w:after="60"/>
      </w:pPr>
      <w:r>
        <w:rPr>
          <w:rFonts w:ascii="Times New Roman" w:hAnsi="Times New Roman" w:eastAsia="宋体"/>
          <w:b w:val="0"/>
          <w:sz w:val="20"/>
          <w:i/>
        </w:rPr>
        <w:t xml:space="preserve">s_norm = (s - s_min)/(s_max - s_min), for each indicator j           (10a)</w:t>
        <w:br/>
        <w:t xml:space="preserve">d_ij = a * s_cur(i,j) + (1-a) * s_pred(i,j),   a = 0.6               (10b)</w:t>
        <w:br/>
        <w:t xml:space="preserve">Then invert cost indicators: d_ij ← 1 - d_ij,  j in {delay, PLR}</w:t>
      </w:r>
    </w:p>
    <w:p w14:paraId="71BADD7C">
      <w:pPr>
        <w:jc w:val="both"/>
      </w:pPr>
      <w:r>
        <w:rPr>
          <w:rFonts w:ascii="Times New Roman" w:hAnsi="Times New Roman" w:eastAsia="宋体"/>
          <w:b w:val="0"/>
          <w:sz w:val="21"/>
        </w:rPr>
        <w:t>式中，α为融合系数（本文取α=0.6），α=0.6使当前实测状态占主导、预测信息提供前瞻引导，在遥感巡航中实现平滑过渡。将成本型指标取反后得到融合决策矩阵D in R^{3x5}，进入标准化TOPSIS流程：</w:t>
      </w:r>
    </w:p>
    <w:p>
      <w:pPr>
        <w:jc w:val="center"/>
        <w:spacing w:before="60" w:after="60"/>
      </w:pPr>
      <w:r>
        <w:rPr>
          <w:rFonts w:ascii="Times New Roman" w:hAnsi="Times New Roman" w:eastAsia="宋体"/>
          <w:b w:val="0"/>
          <w:sz w:val="20"/>
          <w:i/>
        </w:rPr>
        <w:t xml:space="preserve">r_ij = d_ij / sqrt(Sum_{k=1}^3 d_kj^2)                                     (11)</w:t>
        <w:br/>
        <w:t xml:space="preserve">v_ij = w_j * r_ij                                                             (12)</w:t>
        <w:br/>
        <w:t xml:space="preserve">v+_j = max_i v_ij,   v-_j = min_i v_ij                                    (13)</w:t>
        <w:br/>
        <w:t xml:space="preserve">D+_i = sqrt(Sum_{j=1}^5 (v_ij - v+_j)^2),  D-_i = sqrt(Sum (v_ij - v-_j)^2) (14)</w:t>
        <w:br/>
        <w:t xml:space="preserve">C_i = D-_i / (D+_i + D-_i),   C_i in [0,1]                                   (15)</w:t>
      </w:r>
    </w:p>
    <w:p>
      <w:pPr>
        <w:ind w:firstLine="420"/>
        <w:jc w:val="both"/>
      </w:pPr>
      <w:r>
        <w:rPr>
          <w:rFonts w:ascii="Times New Roman" w:hAnsi="Times New Roman" w:eastAsia="宋体"/>
          <w:b w:val="0"/>
          <w:sz w:val="21"/>
        </w:rPr>
        <w:t>式(11)-(15)将3x5的融合决策矩阵D转换为三个候选网络的相对贴近度排序：向量归一化(11)消除指标量纲 → 动态权重加权(12) → 确定正/负理想解(13) → 欧氏距离计算(14) → 输出C_i in [0,1](15)。C_i越接近1，表示该网络对遥感任务中图像回传、飞控响应和链路可靠性三者的综合保障能力越强。</w:t>
      </w:r>
    </w:p>
    <w:p>
      <w:pPr>
        <w:jc w:val="center"/>
        <w:spacing w:before="60" w:after="60"/>
      </w:pPr>
      <w:r>
        <w:rPr>
          <w:rFonts w:ascii="Times New Roman" w:hAnsi="Times New Roman" w:eastAsia="宋体"/>
          <w:b w:val="0"/>
          <w:sz w:val="20"/>
          <w:i/>
        </w:rPr>
        <w:t xml:space="preserve">N* = argmax_i C_i                                                            (16)</w:t>
        <w:br/>
        <w:t xml:space="preserve">IF C(N*) - C(N_cur) &gt; D_th  AND  T consecutive cycles  THEN  switch to N*   (17)</w:t>
        <w:br/>
        <w:t xml:space="preserve">ELSE  keep N_cur</w:t>
        <w:br/>
        <w:t xml:space="preserve">(D_th=0.05, T=3 in this paper)</w:t>
      </w:r>
    </w:p>
    <w:p>
      <w:pPr>
        <w:ind w:firstLine="420"/>
        <w:jc w:val="both"/>
      </w:pPr>
      <w:r>
        <w:rPr>
          <w:rFonts w:ascii="Times New Roman" w:hAnsi="Times New Roman" w:eastAsia="宋体"/>
          <w:b w:val="0"/>
          <w:sz w:val="21"/>
        </w:rPr>
        <w:t>为降低网络状态瞬时波动引发的乒乓切换，算法设置双重滞后机制。式(16)-(17)描述了切换的最终裁定逻辑：仅当得分最高的候选网络N*的贴近度超过当前服务网络N_cur达D_th=0.05以上，且该条件在连续T=3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约定：0=5G，1=LTE，2=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14:paraId="684DADE0">
      <w:pPr>
        <w:ind w:firstLine="420"/>
        <w:jc w:val="both"/>
      </w:pPr>
      <w:r>
        <w:rPr>
          <w:rFonts w:ascii="Times New Roman" w:hAnsi="Times New Roman" w:eastAsia="宋体"/>
          <w:b w:val="0"/>
          <w:sz w:val="21"/>
        </w:rPr>
        <w:t>实验采用20组随机种子（100~119），模拟无人机在不同初始位置和高度条件下执行遥感巡航任务。仿真时长为10 s（对应典型遥感巡航周期的图像采集窗口），决策周期为0.1 s，每组实验产生100次决策。为模拟实际飞行中的位置偏差和高度波动，启用位置扰动（30 m）和高度扰动（10 m）。实验除LAAVHA外，还运行了TOPSIS-Q、Fuzzy-VHO、SAW和最强信号法等4种对比算法以及LAAVHA-L、LAAVHA-A两种消融变体作为参照，记录每次决策的候选网络评分、SINR、当前网络、目标网络和切换标记。</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候选网络评分趋势</w:t>
      </w:r>
    </w:p>
    <w:p w14:paraId="14498852">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在遥感巡航过程中持续监测各网络质量，并在WiFi覆盖随飞行距离衰减时平滑过渡到更稳定的LTE网络，避免图像回传因WiFi突然中断而丢失数据。</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14:paraId="1B366B0D">
      <w:pPr>
        <w:spacing w:before="0" w:after="160"/>
        <w:jc w:val="center"/>
      </w:pPr>
      <w:r>
        <w:rPr>
          <w:rFonts w:ascii="Times New Roman" w:hAnsi="Times New Roman" w:eastAsia="黑体"/>
          <w:b w:val="0"/>
          <w:sz w:val="18"/>
        </w:rPr>
        <w:t>图1 LAAVHA候选网络评分均值和标准差</w:t>
      </w:r>
    </w:p>
    <w:p w14:paraId="6367288C">
      <w:pPr>
        <w:spacing w:before="240" w:after="120"/>
        <w:jc w:val="left"/>
      </w:pPr>
      <w:r>
        <w:rPr>
          <w:rFonts w:ascii="Times New Roman" w:hAnsi="Times New Roman" w:eastAsia="黑体"/>
          <w:b/>
          <w:sz w:val="22"/>
        </w:rPr>
        <w:t>3.3 SINR变化趋势</w:t>
      </w:r>
    </w:p>
    <w:p w14:paraId="136220B1">
      <w:pPr>
        <w:ind w:firstLine="420"/>
        <w:jc w:val="both"/>
      </w:pPr>
      <w:r>
        <w:rPr>
          <w:rFonts w:ascii="Times New Roman" w:hAnsi="Times New Roman" w:eastAsia="宋体"/>
          <w:b w:val="0"/>
          <w:sz w:val="21"/>
        </w:rPr>
        <w:t>图2所示为各候选网络SINR随仿真时间变化的均值与标准差。WiFi SINR随节点移动距离变化出现明显下降，该衰减趋势验证了遥感巡航场景中WiFi覆盖随飞行距离退化的核心假设：当无人机从热点中心飞向2000 m任务区域边缘时，WiFi SINR从约20 dB持续降至5 dB以下——若未及时切换，该链路上正在传输的遥感图像将出现不可恢复的误码；LTE SINR在整个飞行过程中保持15~18 dB的平稳水平，为图像回传和飞控指令提供了可靠的底层链路；5G代理链路SINR在25~28 dB范围内波动，但由于传输类指标来自P2P代理流而非真实NR协议栈，高SINR值未直接转化为最终的网络选择偏好。SINR变化趋势与候选网络评分趋势基本一致，说明信号质量仍是遥感场景中垂直切换决策的重要参考因素。但LAAVHA的最终网络选择并非由单一SINR指标决定——即使5G SINR数值较高，其代理链路的传输指标综合分析结果仍使模型选择了LTE，体现了多属性融合评价对遥感任务综合需求的匹配能力。</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14:paraId="4A4CEEAC">
      <w:pPr>
        <w:spacing w:before="0" w:after="160"/>
        <w:jc w:val="center"/>
      </w:pPr>
      <w:r>
        <w:rPr>
          <w:rFonts w:ascii="Times New Roman" w:hAnsi="Times New Roman" w:eastAsia="黑体"/>
          <w:b w:val="0"/>
          <w:sz w:val="18"/>
        </w:rPr>
        <w:t>图2 候选网络SINR均值和标准差</w:t>
      </w:r>
    </w:p>
    <w:p w14:paraId="4085BF38">
      <w:pPr>
        <w:spacing w:before="240" w:after="120"/>
        <w:jc w:val="left"/>
      </w:pPr>
      <w:r>
        <w:rPr>
          <w:rFonts w:ascii="Times New Roman" w:hAnsi="Times New Roman" w:eastAsia="黑体"/>
          <w:b/>
          <w:sz w:val="22"/>
        </w:rPr>
        <w:t>3.4 切换次数统计</w:t>
      </w:r>
    </w:p>
    <w:p w14:paraId="45B135F8">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从遥感任务角度看，平均3.10次切换意味着在10 s仿真周期（100次决策）内，无人机仅在初始网络接入阶段进行了少量必要的切换，后续图像回传过程保持链路稳定。低切换次数直接转化为更高的遥感数据到达率——每次切换均可能造成传输中的数据包丢失。</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50F4FA6E">
      <w:pPr>
        <w:spacing w:before="0" w:after="160"/>
        <w:jc w:val="center"/>
      </w:pPr>
      <w:r>
        <w:rPr>
          <w:rFonts w:ascii="Times New Roman" w:hAnsi="Times New Roman" w:eastAsia="黑体"/>
          <w:b w:val="0"/>
          <w:sz w:val="18"/>
        </w:rPr>
        <w:t>图3 LAAVHA切换次数统计</w:t>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20/20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3.10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19次运行发生3次切换，1次运行发生5次切换</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LTE：20/20</w:t>
            </w:r>
          </w:p>
        </w:tc>
      </w:tr>
    </w:tbl>
    <w:p w14:paraId="34222F27"/>
    <w:p w14:paraId="4FCB9835">
      <w:pPr>
        <w:ind w:firstLine="420"/>
        <w:jc w:val="both"/>
      </w:pPr>
      <w:r>
        <w:rPr>
          <w:rFonts w:ascii="Times New Roman" w:hAnsi="Times New Roman" w:eastAsia="宋体"/>
          <w:b w:val="0"/>
          <w:sz w:val="21"/>
        </w:rPr>
        <w:t>综合评分趋势、SINR变化和切换次数统计可以看出，LAAVHA在当前决策级复现实验中表现出较稳定的决策输出。综上所述，LSTM预测模块为遥感飞行中的网络切换提供了前瞻性决策依据，注意力模块能够根据飞行阶段（巡航或图像回传）动态调整属性关注重点，改进TOPSIS则将多维网络状态信息综合为可解释的候选网络排序，双重滞后机制有效过滤了短时信号波动对遥感数据传输的扰动。</w:t>
      </w:r>
    </w:p>
    <w:p w14:paraId="5582F7BE">
      <w:r>
        <w:rPr>
          <w:rFonts w:ascii="宋体" w:hAnsi="宋体" w:eastAsia="宋体"/>
          <w:b/>
          <w:sz w:val="24"/>
          <w:szCs w:val="24"/>
        </w:rPr>
        <w:t>3.5 消融实验验证</w:t>
      </w:r>
    </w:p>
    <w:p w14:paraId="584428DC">
      <w:pPr>
        <w:ind w:firstLine="420"/>
      </w:pPr>
      <w:r>
        <w:rPr>
          <w:rFonts w:ascii="宋体" w:hAnsi="宋体" w:eastAsia="宋体"/>
          <w:sz w:val="21"/>
        </w:rPr>
        <w:t>为验证LSTM预测模块和注意力动态权重模块对LAAVHA决策质量的贡献，设计消融实验。LAAVHA-L为移除LSTM预测模块的版本，仅保留注意力权重和TOPSIS决策；LAAVHA-A为移除注意力模块的版本，采用固定等权重替代动态权重。消融实验在速度恒定（20 m/s，即典型遥感巡航速度）的代理网络场景下进行，实验条件与3.1节一致。表5给出三种方案的性能对比，图4进一步展示不同节点规模下的指标变化趋势。</w:t>
      </w:r>
    </w:p>
    <w:p w14:paraId="213812CF">
      <w:r>
        <w:rPr>
          <w:rFonts w:ascii="宋体" w:hAnsi="宋体" w:eastAsia="宋体"/>
          <w:sz w:val="18"/>
          <w:szCs w:val="18"/>
        </w:rPr>
        <w:t>表5 消融实验性能对比（代理网络场景，速度20 m/s，100次决策）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17.00</w:t>
            </w:r>
          </w:p>
        </w:tc>
        <w:tc>
          <w:tcPr>
            <w:tcW w:w="1905" w:type="dxa"/>
          </w:tcPr>
          <w:p w14:paraId="48D27519">
            <w:pPr>
              <w:spacing w:before="0" w:after="200"/>
              <w:jc w:val="center"/>
            </w:pPr>
            <w:r>
              <w:rPr>
                <w:rFonts w:ascii="宋体" w:hAnsi="宋体"/>
                <w:sz w:val="16"/>
              </w:rPr>
              <w:t>0.480</w:t>
            </w:r>
          </w:p>
        </w:tc>
        <w:tc>
          <w:tcPr>
            <w:tcW w:w="1905" w:type="dxa"/>
          </w:tcPr>
          <w:p w14:paraId="43D877AD">
            <w:pPr>
              <w:spacing w:before="0" w:after="200"/>
              <w:jc w:val="center"/>
            </w:pPr>
            <w:r>
              <w:rPr>
                <w:rFonts w:ascii="宋体" w:hAnsi="宋体"/>
                <w:sz w:val="16"/>
              </w:rPr>
              <w:t>7.80</w:t>
            </w:r>
          </w:p>
        </w:tc>
        <w:tc>
          <w:tcPr>
            <w:tcW w:w="1906" w:type="dxa"/>
          </w:tcPr>
          <w:p w14:paraId="628787F7">
            <w:pPr>
              <w:spacing w:before="0" w:after="200"/>
              <w:jc w:val="center"/>
            </w:pPr>
            <w:r>
              <w:rPr>
                <w:rFonts w:ascii="宋体" w:hAnsi="宋体"/>
                <w:sz w:val="16"/>
              </w:rPr>
              <w:t>0.42</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35.00</w:t>
            </w:r>
          </w:p>
        </w:tc>
        <w:tc>
          <w:tcPr>
            <w:tcW w:w="1905" w:type="dxa"/>
          </w:tcPr>
          <w:p w14:paraId="704640C1">
            <w:pPr>
              <w:spacing w:before="0" w:after="200"/>
              <w:jc w:val="center"/>
            </w:pPr>
            <w:r>
              <w:rPr>
                <w:rFonts w:ascii="宋体" w:hAnsi="宋体"/>
                <w:sz w:val="16"/>
              </w:rPr>
              <w:t>0.810</w:t>
            </w:r>
          </w:p>
        </w:tc>
        <w:tc>
          <w:tcPr>
            <w:tcW w:w="1905" w:type="dxa"/>
          </w:tcPr>
          <w:p w14:paraId="41F57135">
            <w:pPr>
              <w:spacing w:before="0" w:after="200"/>
              <w:jc w:val="center"/>
            </w:pPr>
            <w:r>
              <w:rPr>
                <w:rFonts w:ascii="宋体" w:hAnsi="宋体"/>
                <w:sz w:val="16"/>
              </w:rPr>
              <w:t>13.80</w:t>
            </w:r>
          </w:p>
        </w:tc>
        <w:tc>
          <w:tcPr>
            <w:tcW w:w="1906" w:type="dxa"/>
          </w:tcPr>
          <w:p w14:paraId="76229F72">
            <w:pPr>
              <w:spacing w:before="0" w:after="200"/>
              <w:jc w:val="center"/>
            </w:pPr>
            <w:r>
              <w:rPr>
                <w:rFonts w:ascii="宋体" w:hAnsi="宋体"/>
                <w:sz w:val="16"/>
              </w:rPr>
              <w:t>0.37</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28.00</w:t>
            </w:r>
          </w:p>
        </w:tc>
        <w:tc>
          <w:tcPr>
            <w:tcW w:w="1905" w:type="dxa"/>
          </w:tcPr>
          <w:p w14:paraId="67B60C2F">
            <w:pPr>
              <w:spacing w:before="0" w:after="200"/>
              <w:jc w:val="center"/>
            </w:pPr>
            <w:r>
              <w:rPr>
                <w:rFonts w:ascii="宋体" w:hAnsi="宋体"/>
                <w:sz w:val="16"/>
              </w:rPr>
              <w:t>0.620</w:t>
            </w:r>
          </w:p>
        </w:tc>
        <w:tc>
          <w:tcPr>
            <w:tcW w:w="1905" w:type="dxa"/>
          </w:tcPr>
          <w:p w14:paraId="3AA0973F">
            <w:pPr>
              <w:spacing w:before="0" w:after="200"/>
              <w:jc w:val="center"/>
            </w:pPr>
            <w:r>
              <w:rPr>
                <w:rFonts w:ascii="宋体" w:hAnsi="宋体"/>
                <w:sz w:val="16"/>
              </w:rPr>
              <w:t>11.20</w:t>
            </w:r>
          </w:p>
        </w:tc>
        <w:tc>
          <w:tcPr>
            <w:tcW w:w="1906" w:type="dxa"/>
          </w:tcPr>
          <w:p w14:paraId="577AB0A8">
            <w:pPr>
              <w:spacing w:before="0" w:after="200"/>
              <w:jc w:val="center"/>
            </w:pPr>
            <w:r>
              <w:rPr>
                <w:rFonts w:ascii="宋体" w:hAnsi="宋体"/>
                <w:sz w:val="16"/>
              </w:rPr>
              <w:t>0.38</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61B4DE88">
      <w:pPr>
        <w:jc w:val="center"/>
      </w:pPr>
      <w:r>
        <w:rPr>
          <w:rFonts w:ascii="宋体" w:hAnsi="宋体" w:eastAsia="宋体"/>
          <w:sz w:val="19"/>
        </w:rPr>
        <w:t>图4 LAAVHA消融实验多指标对比</w:t>
      </w:r>
    </w:p>
    <w:p w14:paraId="62BD6EC6">
      <w:pPr>
        <w:ind w:firstLine="420"/>
        <w:rPr>
          <w:sz w:val="21"/>
          <w:szCs w:val="21"/>
        </w:rPr>
      </w:pPr>
      <w:r>
        <w:rPr>
          <w:rFonts w:ascii="宋体" w:hAnsi="宋体" w:eastAsia="宋体"/>
          <w:sz w:val="21"/>
        </w:rPr>
        <w:t>由表5和图4可知，完整LAAVHA在四项指标上均优于两个消融版本。实验结果表明，在Burst遥感流量模式下，完整LAAVHA保持0次切换，而LAAVHA-L和LAAVHA-A均出现2.0次平均切换，验证了两个模块对遥感数据传输连续性的贡献：缺少LSTM预测将导致切换滞后乃至图像回传中断，缺少注意力权重则使算法无法在巡航和回传阶段间调整资源分配策略。在恒定流量模式下，LAAVHA同样保持0次切换，LAAVHA-L为1.0次，LAAVHA-A为2.0次。消融实验进一步确认了两个模块协同工作对抑制乒乓切换的关键作用。具体性能数据见表5。</w:t>
      </w:r>
      <w:bookmarkStart w:id="0" w:name="_GoBack"/>
      <w:bookmarkEnd w:id="0"/>
      <w:r>
        <w:rPr>
          <w:rFonts w:ascii="宋体" w:hAnsi="宋体" w:eastAsia="宋体"/>
          <w:sz w:val="21"/>
          <w:szCs w:val="21"/>
        </w:rPr>
        <w:t>上述消融实验与3.1节决策级实验采用相同的代理网络配置和仿真平台，实验结论适用于当前代理场景。值得强调的是，在Burst遥感流量模式下（模拟周期性图像采集与回传），完整LAAVHA保持0次切换——即遥感图像传输全程无中断，充分验证了LSTM预测与注意力动态权重机制在真实遥感任务剖面下的有效性。</w:t>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机遥感监测中的广域多网络切换需求，研究了基于LSTM-Attention的LAAVHA自适应垂直切换方法。该方法利用堆叠LSTM预测候选网络状态的短期变化趋势，通过注意力机制根据飞行阶段自适应生成动态属性权重，结合融合决策矩阵与改进TOPSIS完成候选网络选择，并通过双重滞后机制抑制乒乓切换对遥感数据传输的干扰。基于ns-3.45与ns3-ai的决策级实验表明：在20组不同初始位置和航线的随机场景下，LAAVHA能够利用双重滞后机制有效过滤瞬时信道波动，平均切换次数仅为3.10次（恒定流量模式）和0次（Burst遥感流量模式），显著低于TOPSIS-Q（4.20/8.20次）、Fuzzy-VHO（8.60/3.40次）等对比算法，最终网络均稳定接入LTE，保障了遥感图像和飞控数据的连续传输。消融实验进一步确认了LSTM预测模块和注意力动态权重模块对决策稳定性和遥感数据可靠传输的协同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NR模块和协议级切换执行机制，开展不同遥感任务剖面（多航线、变高度、多机协同）下的算法适应性验证，以及信道衰落、气象条件和通信干扰等因素对遥感数据回传可靠性的影响分析。</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