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48B64">
      <w:pPr>
        <w:spacing w:before="240" w:after="120"/>
        <w:jc w:val="center"/>
      </w:pPr>
      <w:r>
        <w:rPr>
          <w:rFonts w:ascii="Times New Roman" w:hAnsi="Times New Roman" w:eastAsia="黑体"/>
          <w:b/>
          <w:sz w:val="36"/>
        </w:rPr>
        <w:t>面向无人异构网络的LSTM-Attention自适应垂直切换方法</w:t>
      </w:r>
    </w:p>
    <w:p w14:paraId="5CB90976">
      <w:pPr>
        <w:jc w:val="center"/>
      </w:pPr>
      <w:r>
        <w:t>多滨</w:t>
      </w:r>
      <w:r>
        <w:rPr>
          <w:rFonts w:ascii="Times New Roman" w:hAnsi="Times New Roman" w:eastAsia="宋体"/>
          <w:b w:val="0"/>
          <w:sz w:val="21"/>
          <w:vertAlign w:val="superscript"/>
        </w:rPr>
        <w:t>[1]</w:t>
      </w:r>
      <w:r>
        <w:t>，刘同</w:t>
      </w:r>
      <w:r>
        <w:rPr>
          <w:rFonts w:ascii="Times New Roman" w:hAnsi="Times New Roman" w:eastAsia="宋体"/>
          <w:b w:val="0"/>
          <w:sz w:val="21"/>
          <w:vertAlign w:val="superscript"/>
        </w:rPr>
        <w:t>[1]</w:t>
      </w:r>
      <w:r>
        <w:t>，郑宇翔</w:t>
      </w:r>
      <w:r>
        <w:rPr>
          <w:rFonts w:ascii="Times New Roman" w:hAnsi="Times New Roman" w:eastAsia="宋体"/>
          <w:b w:val="0"/>
          <w:sz w:val="21"/>
          <w:vertAlign w:val="superscript"/>
        </w:rPr>
        <w:t>[1]</w:t>
      </w:r>
      <w:r>
        <w:t>，苏文</w:t>
      </w:r>
      <w:r>
        <w:rPr>
          <w:rFonts w:ascii="Times New Roman" w:hAnsi="Times New Roman" w:eastAsia="宋体"/>
          <w:b w:val="0"/>
          <w:sz w:val="21"/>
          <w:vertAlign w:val="superscript"/>
        </w:rPr>
        <w:t>[1]</w:t>
      </w:r>
    </w:p>
    <w:p w14:paraId="229B0CE2">
      <w:pPr>
        <w:jc w:val="center"/>
      </w:pPr>
      <w:r>
        <w:rPr>
          <w:rFonts w:ascii="Times New Roman" w:hAnsi="Times New Roman" w:eastAsia="宋体"/>
          <w:b w:val="0"/>
          <w:sz w:val="21"/>
        </w:rPr>
        <w:t>（1. 成都理工大学，四川省成都市 610000）</w:t>
      </w:r>
    </w:p>
    <w:p w14:paraId="07580BCD">
      <w:pPr>
        <w:ind w:firstLine="420"/>
        <w:jc w:val="both"/>
      </w:pPr>
      <w:r>
        <w:rPr>
          <w:rFonts w:ascii="Times New Roman" w:hAnsi="Times New Roman" w:eastAsia="黑体"/>
          <w:b/>
          <w:sz w:val="21"/>
        </w:rPr>
        <w:t>摘  要：针对无人异构网络中垂直切换决策滞后、乒乓切换频繁及固定权重难以适应动态场景的问题，提出一种基于长短期记忆网络与多头注意力机制的自适应垂直切换方法（LAAVHA）。该方法利用堆叠长短期记忆网络预测候选网络短期状态变化，通过多头注意力机制动态生成属性权重，融合当前与预测状态构建改进逼近理想解排序决策矩阵，并结合双重滞后机制抑制不必要切换。基于ns-3与ns3-ai搭建决策级实验平台，完成20组随机种子推理实验。结果表明，该方法在代理异构网络场景下形成稳定的候选网络评分与切换决策，平均切换次数为3.10次。消融实验表明，移除预测模块或注意力模块后切换次数与时延均有增加，验证了各模块对决策质量的贡献。</w:t>
      </w:r>
    </w:p>
    <w:p w14:paraId="2B9A3088">
      <w:r>
        <w:rPr>
          <w:rFonts w:ascii="Times New Roman" w:hAnsi="Times New Roman" w:eastAsia="黑体"/>
          <w:b/>
          <w:sz w:val="21"/>
        </w:rPr>
        <w:t>关键词：</w:t>
      </w:r>
      <w:r>
        <w:rPr>
          <w:rFonts w:ascii="Times New Roman" w:hAnsi="Times New Roman" w:eastAsia="宋体"/>
          <w:b w:val="0"/>
          <w:sz w:val="21"/>
        </w:rPr>
        <w:t>无人异构网络；垂直切换；长短期记忆网络；注意力机制；逼近理想解排序法；ns-3</w:t>
      </w:r>
    </w:p>
    <w:p w14:paraId="45CECA0D">
      <w:pPr>
        <w:rPr>
          <w:rFonts w:ascii="Times New Roman" w:hAnsi="Times New Roman" w:eastAsia="宋体"/>
          <w:b w:val="0"/>
          <w:sz w:val="21"/>
        </w:rPr>
      </w:pPr>
    </w:p>
    <w:p w14:paraId="24185F24">
      <w:pPr>
        <w:spacing w:before="240" w:after="120"/>
        <w:jc w:val="center"/>
      </w:pPr>
      <w:r>
        <w:rPr>
          <w:rFonts w:ascii="Times New Roman" w:hAnsi="Times New Roman" w:eastAsia="黑体"/>
          <w:b/>
          <w:sz w:val="36"/>
        </w:rPr>
        <w:t>LSTM-attention based adaptive vertical handover method for unmanned heterogeneous networks</w:t>
      </w:r>
    </w:p>
    <w:p w14:paraId="409C329C">
      <w:pPr>
        <w:jc w:val="center"/>
      </w:pPr>
      <w:r>
        <w:rPr>
          <w:rFonts w:ascii="Times New Roman" w:hAnsi="Times New Roman" w:eastAsia="Times New Roman"/>
          <w:b w:val="0"/>
          <w:sz w:val="21"/>
        </w:rPr>
        <w:t>DUO Bin</w:t>
      </w:r>
      <w:r>
        <w:rPr>
          <w:rFonts w:ascii="Times New Roman" w:hAnsi="Times New Roman" w:eastAsia="宋体"/>
          <w:b w:val="0"/>
          <w:sz w:val="21"/>
          <w:vertAlign w:val="superscript"/>
        </w:rPr>
        <w:t>[1]</w:t>
      </w:r>
      <w:r>
        <w:rPr>
          <w:rFonts w:ascii="Times New Roman" w:hAnsi="Times New Roman" w:eastAsia="Times New Roman"/>
          <w:b w:val="0"/>
          <w:sz w:val="21"/>
        </w:rPr>
        <w:t>, LIU Tong</w:t>
      </w:r>
      <w:r>
        <w:rPr>
          <w:rFonts w:ascii="Times New Roman" w:hAnsi="Times New Roman" w:eastAsia="宋体"/>
          <w:b w:val="0"/>
          <w:sz w:val="21"/>
          <w:vertAlign w:val="superscript"/>
        </w:rPr>
        <w:t>[1]</w:t>
      </w:r>
      <w:r>
        <w:rPr>
          <w:rFonts w:ascii="Times New Roman" w:hAnsi="Times New Roman" w:eastAsia="Times New Roman"/>
          <w:b w:val="0"/>
          <w:sz w:val="21"/>
        </w:rPr>
        <w:t>, ZHENG Yuxiang</w:t>
      </w:r>
      <w:r>
        <w:rPr>
          <w:rFonts w:ascii="Times New Roman" w:hAnsi="Times New Roman" w:eastAsia="宋体"/>
          <w:b w:val="0"/>
          <w:sz w:val="21"/>
          <w:vertAlign w:val="superscript"/>
        </w:rPr>
        <w:t>[1]</w:t>
      </w:r>
      <w:r>
        <w:rPr>
          <w:rFonts w:ascii="Times New Roman" w:hAnsi="Times New Roman" w:eastAsia="Times New Roman"/>
          <w:b w:val="0"/>
          <w:sz w:val="21"/>
        </w:rPr>
        <w:t>, SU Wen</w:t>
      </w:r>
      <w:r>
        <w:rPr>
          <w:rFonts w:ascii="Times New Roman" w:hAnsi="Times New Roman" w:eastAsia="宋体"/>
          <w:b w:val="0"/>
          <w:sz w:val="21"/>
          <w:vertAlign w:val="superscript"/>
        </w:rPr>
        <w:t>[1]</w:t>
      </w:r>
    </w:p>
    <w:p w14:paraId="4FE812E4">
      <w:pPr>
        <w:jc w:val="center"/>
      </w:pPr>
      <w:r>
        <w:rPr>
          <w:rFonts w:ascii="Times New Roman" w:hAnsi="Times New Roman" w:eastAsia="Times New Roman"/>
          <w:b w:val="0"/>
          <w:sz w:val="21"/>
        </w:rPr>
        <w:t>1. Chengdu University of Technology, Chengdu 610000, China</w:t>
      </w:r>
    </w:p>
    <w:p w14:paraId="6822AF3D">
      <w:pPr>
        <w:ind w:firstLine="420"/>
        <w:jc w:val="both"/>
      </w:pPr>
      <w:r>
        <w:rPr>
          <w:rFonts w:ascii="Times New Roman" w:hAnsi="Times New Roman" w:eastAsia="Times New Roman"/>
          <w:b/>
          <w:sz w:val="21"/>
        </w:rPr>
        <w:t>Abstract: An adaptive vertical handover method, termed LAAVHA, was proposed for unmanned heterogeneous networks to address decision latency, frequent ping-pong handover, and the poor adaptability of fixed attribute weights. A stacked long short-term memory (LSTM) network was employed to predict short-term candidate-network state changes. A multi-head attention module generated dynamic attribute weights according to mobility and network conditions. An improved technique for order preference by similarity to ideal solution (TOPSIS) decision matrix was constructed by fusing current and predicted states, and a dual hysteresis mechanism was applied to suppress unnecessary handovers. A decision-level experimental platform was built with ns-3 and ns3-ai, and 20 inference runs with different random seeds were conducted. Results show that the method produces stable candidate-network scores and handover decisions in the proxy heterogeneous-network scenario, with an average handover count of 3.10. Ablation experiments indicate that removing either the LSTM prediction module or the attention weight module increases handover count and end-to-end delay, confirming the contribution of each component to decision quality.</w:t>
      </w:r>
    </w:p>
    <w:p w14:paraId="56AF21DE">
      <w:r>
        <w:rPr>
          <w:rFonts w:ascii="Times New Roman" w:hAnsi="Times New Roman" w:eastAsia="Times New Roman"/>
          <w:b/>
          <w:sz w:val="21"/>
        </w:rPr>
        <w:t xml:space="preserve">Key words: </w:t>
      </w:r>
      <w:r>
        <w:rPr>
          <w:rFonts w:ascii="Times New Roman" w:hAnsi="Times New Roman" w:eastAsia="Times New Roman"/>
          <w:b w:val="0"/>
          <w:sz w:val="21"/>
        </w:rPr>
        <w:t>unmanned heterogeneous network, vertical handover, long short-term memory, attention mechanism, technique for order preference by similarity to ideal solution, ns-3</w:t>
      </w:r>
    </w:p>
    <w:p w14:paraId="5802B735">
      <w:pPr>
        <w:spacing w:before="240" w:after="120"/>
        <w:jc w:val="left"/>
      </w:pPr>
      <w:r>
        <w:rPr>
          <w:rFonts w:ascii="Times New Roman" w:hAnsi="Times New Roman" w:eastAsia="黑体"/>
          <w:b/>
          <w:sz w:val="26"/>
        </w:rPr>
        <w:t>0 引言</w:t>
      </w:r>
    </w:p>
    <w:p w14:paraId="09C7E2B8">
      <w:pPr>
        <w:ind w:firstLine="420"/>
        <w:jc w:val="both"/>
      </w:pPr>
      <w:r>
        <w:rPr>
          <w:rFonts w:ascii="Times New Roman" w:hAnsi="Times New Roman" w:eastAsia="宋体"/>
          <w:b w:val="0"/>
          <w:sz w:val="21"/>
        </w:rPr>
        <w:t>无人机（UAV, unmanned aerial vehicle）、无人车等无人系统正逐渐应用于应急通信、智能巡检、物流运输和复杂环境感知等场景</w:t>
      </w:r>
      <w:r>
        <w:rPr>
          <w:rFonts w:ascii="Times New Roman" w:hAnsi="Times New Roman" w:eastAsia="宋体"/>
          <w:b w:val="0"/>
          <w:sz w:val="21"/>
          <w:vertAlign w:val="superscript"/>
        </w:rPr>
        <w:t>[1-2]</w:t>
      </w:r>
      <w:r>
        <w:rPr>
          <w:rFonts w:ascii="Times New Roman" w:hAnsi="Times New Roman" w:eastAsia="宋体"/>
          <w:b w:val="0"/>
          <w:sz w:val="21"/>
        </w:rPr>
        <w:t>。此类系统通常需要在第五代移动通信（5G, the 5th generation mobile communication）、长期演进（LTE, long term evolution）和无线局域网（WiFi, wireless fidelity）等多种无线接入网络之间保持连续通信</w:t>
      </w:r>
      <w:r>
        <w:rPr>
          <w:rFonts w:ascii="Times New Roman" w:hAnsi="Times New Roman" w:eastAsia="宋体"/>
          <w:b w:val="0"/>
          <w:sz w:val="21"/>
          <w:vertAlign w:val="superscript"/>
        </w:rPr>
        <w:t>[3]</w:t>
      </w:r>
      <w:r>
        <w:rPr>
          <w:rFonts w:ascii="Times New Roman" w:hAnsi="Times New Roman" w:eastAsia="宋体"/>
          <w:b w:val="0"/>
          <w:sz w:val="21"/>
        </w:rPr>
        <w:t>。由于不同网络在覆盖范围、传输速率、时延和可靠性方面存在明显差异，无人节点在移动过程中需要根据网络状态及时完成垂直切换（VHO, vertical handover），从而保障通信服务的连续性和稳定性</w:t>
      </w:r>
      <w:r>
        <w:rPr>
          <w:rFonts w:ascii="Times New Roman" w:hAnsi="Times New Roman" w:eastAsia="宋体"/>
          <w:b w:val="0"/>
          <w:sz w:val="21"/>
          <w:vertAlign w:val="superscript"/>
        </w:rPr>
        <w:t>[4-5]</w:t>
      </w:r>
      <w:r>
        <w:rPr>
          <w:rFonts w:ascii="Times New Roman" w:hAnsi="Times New Roman" w:eastAsia="宋体"/>
          <w:b w:val="0"/>
          <w:sz w:val="21"/>
        </w:rPr>
        <w:t>。</w:t>
      </w:r>
    </w:p>
    <w:p w14:paraId="6E26E33F">
      <w:pPr>
        <w:ind w:firstLine="420"/>
        <w:jc w:val="both"/>
      </w:pPr>
      <w:r>
        <w:rPr>
          <w:rFonts w:ascii="Times New Roman" w:hAnsi="Times New Roman" w:eastAsia="宋体"/>
          <w:b w:val="0"/>
          <w:sz w:val="21"/>
        </w:rPr>
        <w:t>传统垂直切换方法主要包括基于单一信号强度的方法</w:t>
      </w:r>
      <w:r>
        <w:rPr>
          <w:rFonts w:ascii="Times New Roman" w:hAnsi="Times New Roman" w:eastAsia="宋体"/>
          <w:b w:val="0"/>
          <w:sz w:val="21"/>
          <w:vertAlign w:val="superscript"/>
        </w:rPr>
        <w:t>[6]</w:t>
      </w:r>
      <w:r>
        <w:rPr>
          <w:rFonts w:ascii="Times New Roman" w:hAnsi="Times New Roman" w:eastAsia="宋体"/>
          <w:b w:val="0"/>
          <w:sz w:val="21"/>
        </w:rPr>
        <w:t>、基于多属性决策的方法</w:t>
      </w:r>
      <w:r>
        <w:rPr>
          <w:rFonts w:ascii="Times New Roman" w:hAnsi="Times New Roman" w:eastAsia="宋体"/>
          <w:b w:val="0"/>
          <w:sz w:val="21"/>
          <w:vertAlign w:val="superscript"/>
        </w:rPr>
        <w:t>[7-11]</w:t>
      </w:r>
      <w:r>
        <w:rPr>
          <w:rFonts w:ascii="Times New Roman" w:hAnsi="Times New Roman" w:eastAsia="宋体"/>
          <w:b w:val="0"/>
          <w:sz w:val="21"/>
        </w:rPr>
        <w:t>和基于机器学习的方法</w:t>
      </w:r>
      <w:r>
        <w:rPr>
          <w:rFonts w:ascii="Times New Roman" w:hAnsi="Times New Roman" w:eastAsia="宋体"/>
          <w:b w:val="0"/>
          <w:sz w:val="21"/>
          <w:vertAlign w:val="superscript"/>
        </w:rPr>
        <w:t>[12-14]</w:t>
      </w:r>
      <w:r>
        <w:rPr>
          <w:rFonts w:ascii="Times New Roman" w:hAnsi="Times New Roman" w:eastAsia="宋体"/>
          <w:b w:val="0"/>
          <w:sz w:val="21"/>
        </w:rPr>
        <w:t>。基于接收信号强度的方法实现简单，但仅依赖单一指标，难以刻画复杂网络状态，容易在覆盖边缘产生乒乓切换</w:t>
      </w:r>
      <w:r>
        <w:rPr>
          <w:rFonts w:ascii="Times New Roman" w:hAnsi="Times New Roman" w:eastAsia="宋体"/>
          <w:b w:val="0"/>
          <w:sz w:val="21"/>
          <w:vertAlign w:val="superscript"/>
        </w:rPr>
        <w:t>[6]</w:t>
      </w:r>
      <w:r>
        <w:rPr>
          <w:rFonts w:ascii="Times New Roman" w:hAnsi="Times New Roman" w:eastAsia="宋体"/>
          <w:b w:val="0"/>
          <w:sz w:val="21"/>
        </w:rPr>
        <w:t>。多属性决策方法能够综合考虑多种网络质量指标，其中逼近理想解排序法（TOPSIS, technique for order preference by similarity to ideal solution）具有计算复杂度低、可解释性较强等优点</w:t>
      </w:r>
      <w:r>
        <w:rPr>
          <w:rFonts w:ascii="Times New Roman" w:hAnsi="Times New Roman" w:eastAsia="宋体"/>
          <w:b w:val="0"/>
          <w:sz w:val="21"/>
          <w:vertAlign w:val="superscript"/>
        </w:rPr>
        <w:t>[7-8,30]</w:t>
      </w:r>
      <w:r>
        <w:rPr>
          <w:rFonts w:ascii="Times New Roman" w:hAnsi="Times New Roman" w:eastAsia="宋体"/>
          <w:b w:val="0"/>
          <w:sz w:val="21"/>
        </w:rPr>
        <w:t>，但传统方法通常采用固定权重，难以适应节点速度、业务需求和链路状态的动态变化</w:t>
      </w:r>
      <w:r>
        <w:rPr>
          <w:rFonts w:ascii="Times New Roman" w:hAnsi="Times New Roman" w:eastAsia="宋体"/>
          <w:b w:val="0"/>
          <w:sz w:val="21"/>
          <w:vertAlign w:val="superscript"/>
        </w:rPr>
        <w:t>[9-11]</w:t>
      </w:r>
      <w:r>
        <w:rPr>
          <w:rFonts w:ascii="Times New Roman" w:hAnsi="Times New Roman" w:eastAsia="宋体"/>
          <w:b w:val="0"/>
          <w:sz w:val="21"/>
        </w:rPr>
        <w:t>。基于强化学习的智能方法能够从环境交互中学习切换策略</w:t>
      </w:r>
      <w:r>
        <w:rPr>
          <w:rFonts w:ascii="Times New Roman" w:hAnsi="Times New Roman" w:eastAsia="宋体"/>
          <w:b w:val="0"/>
          <w:sz w:val="21"/>
          <w:vertAlign w:val="superscript"/>
        </w:rPr>
        <w:t>[12-13]</w:t>
      </w:r>
      <w:r>
        <w:rPr>
          <w:rFonts w:ascii="Times New Roman" w:hAnsi="Times New Roman" w:eastAsia="宋体"/>
          <w:b w:val="0"/>
          <w:sz w:val="21"/>
        </w:rPr>
        <w:t>，但训练和部署成本较高，对仿真交互规模和状态空间设计较为敏感</w:t>
      </w:r>
      <w:r>
        <w:rPr>
          <w:rFonts w:ascii="Times New Roman" w:hAnsi="Times New Roman" w:eastAsia="宋体"/>
          <w:b w:val="0"/>
          <w:sz w:val="21"/>
          <w:vertAlign w:val="superscript"/>
        </w:rPr>
        <w:t>[14]</w:t>
      </w:r>
      <w:r>
        <w:rPr>
          <w:rFonts w:ascii="Times New Roman" w:hAnsi="Times New Roman" w:eastAsia="宋体"/>
          <w:b w:val="0"/>
          <w:sz w:val="21"/>
        </w:rPr>
        <w:t>。</w:t>
      </w:r>
    </w:p>
    <w:p w14:paraId="2E2B8390">
      <w:pPr>
        <w:ind w:firstLine="420"/>
        <w:jc w:val="both"/>
      </w:pPr>
      <w:r>
        <w:rPr>
          <w:rFonts w:ascii="Times New Roman" w:hAnsi="Times New Roman" w:eastAsia="宋体"/>
          <w:b w:val="0"/>
          <w:sz w:val="21"/>
        </w:rPr>
        <w:t>长短期记忆网络（LSTM, long short-term memory）通过门控结构有效缓解梯度消失问题</w:t>
      </w:r>
      <w:r>
        <w:rPr>
          <w:rFonts w:ascii="Times New Roman" w:hAnsi="Times New Roman" w:eastAsia="宋体"/>
          <w:b w:val="0"/>
          <w:sz w:val="21"/>
          <w:vertAlign w:val="superscript"/>
        </w:rPr>
        <w:t>[15]</w:t>
      </w:r>
      <w:r>
        <w:rPr>
          <w:rFonts w:ascii="Times New Roman" w:hAnsi="Times New Roman" w:eastAsia="宋体"/>
          <w:b w:val="0"/>
          <w:sz w:val="21"/>
        </w:rPr>
        <w:t>，已被应用于网络状态预测和切换判决</w:t>
      </w:r>
      <w:r>
        <w:rPr>
          <w:rFonts w:ascii="Times New Roman" w:hAnsi="Times New Roman" w:eastAsia="宋体"/>
          <w:b w:val="0"/>
          <w:sz w:val="21"/>
          <w:vertAlign w:val="superscript"/>
        </w:rPr>
        <w:t>[16-17]</w:t>
      </w:r>
      <w:r>
        <w:rPr>
          <w:rFonts w:ascii="Times New Roman" w:hAnsi="Times New Roman" w:eastAsia="宋体"/>
          <w:b w:val="0"/>
          <w:sz w:val="21"/>
        </w:rPr>
        <w:t>。注意力机制（attention mechanism）能够自适应分配不同特征的权重</w:t>
      </w:r>
      <w:r>
        <w:rPr>
          <w:rFonts w:ascii="Times New Roman" w:hAnsi="Times New Roman" w:eastAsia="宋体"/>
          <w:b w:val="0"/>
          <w:sz w:val="21"/>
          <w:vertAlign w:val="superscript"/>
        </w:rPr>
        <w:t>[18,29]</w:t>
      </w:r>
      <w:r>
        <w:rPr>
          <w:rFonts w:ascii="Times New Roman" w:hAnsi="Times New Roman" w:eastAsia="宋体"/>
          <w:b w:val="0"/>
          <w:sz w:val="21"/>
        </w:rPr>
        <w:t>，为动态场景下的多属性决策提供了新思路。网络仿真工具ns-3及其人工智能（AI, artificial intelligence）扩展模块ns3-ai为网络协议研究提供了灵活的实验平台</w:t>
      </w:r>
      <w:r>
        <w:rPr>
          <w:rFonts w:ascii="Times New Roman" w:hAnsi="Times New Roman" w:eastAsia="宋体"/>
          <w:b w:val="0"/>
          <w:sz w:val="21"/>
          <w:vertAlign w:val="superscript"/>
        </w:rPr>
        <w:t>[19-20]</w:t>
      </w:r>
      <w:r>
        <w:rPr>
          <w:rFonts w:ascii="Times New Roman" w:hAnsi="Times New Roman" w:eastAsia="宋体"/>
          <w:b w:val="0"/>
          <w:sz w:val="21"/>
        </w:rPr>
        <w:t>。</w:t>
      </w:r>
    </w:p>
    <w:p w14:paraId="0B8CD606">
      <w:pPr>
        <w:ind w:firstLine="420"/>
        <w:jc w:val="both"/>
      </w:pPr>
      <w:r>
        <w:rPr>
          <w:rFonts w:ascii="Times New Roman" w:hAnsi="Times New Roman" w:eastAsia="宋体"/>
          <w:b w:val="0"/>
          <w:sz w:val="21"/>
        </w:rPr>
        <w:t>为兼顾预测性、实时性和可解释性，研究了基于LSTM和多头注意力机制的自适应垂直切换算法LAAVHA（LSTM-attention based adaptive vertical handover algorithm）。该算法利用LSTM捕获网络状态时间序列变化趋势，通过注意力机制生成动态属性权重，并结合改进TOPSIS完成候选网络排序。与仅依据当前状态的被动式切换相比，该方法能够在网络质量恶化前进行前瞻性判断；与固定权重的多属性决策相比，该方法能够根据移动状态和网络状态自适应调整不同指标的重要性。</w:t>
      </w:r>
    </w:p>
    <w:p w14:paraId="172EE95D">
      <w:pPr>
        <w:spacing w:before="240" w:after="120"/>
        <w:jc w:val="left"/>
      </w:pPr>
      <w:r>
        <w:rPr>
          <w:rFonts w:ascii="Times New Roman" w:hAnsi="Times New Roman" w:eastAsia="黑体"/>
          <w:b/>
          <w:sz w:val="26"/>
        </w:rPr>
        <w:t>1 系统模型与网络状态参数</w:t>
      </w:r>
    </w:p>
    <w:p w14:paraId="3CAB5BC8">
      <w:pPr>
        <w:ind w:firstLine="420"/>
        <w:jc w:val="both"/>
      </w:pPr>
      <w:r>
        <w:rPr>
          <w:rFonts w:ascii="Times New Roman" w:hAnsi="Times New Roman" w:eastAsia="宋体"/>
          <w:b w:val="0"/>
          <w:sz w:val="21"/>
        </w:rPr>
        <w:t>考虑无人节点处于5G、LTE和WiFi共同覆盖的异构网络环境中。不同接入网络具有不同的覆盖半径、信号质量和传输能力。无人节点在三维空间中移动，并周期性采集各候选网络的状态信息</w:t>
      </w:r>
      <w:r>
        <w:rPr>
          <w:rFonts w:ascii="Times New Roman" w:hAnsi="Times New Roman" w:eastAsia="宋体"/>
          <w:b w:val="0"/>
          <w:sz w:val="21"/>
          <w:vertAlign w:val="superscript"/>
        </w:rPr>
        <w:t>[21]</w:t>
      </w:r>
      <w:r>
        <w:rPr>
          <w:rFonts w:ascii="Times New Roman" w:hAnsi="Times New Roman" w:eastAsia="宋体"/>
          <w:b w:val="0"/>
          <w:sz w:val="21"/>
        </w:rPr>
        <w:t>。对于第i个候选网络，其在时刻t的状态向量定义为</w:t>
      </w:r>
    </w:p>
    <w:p w14:paraId="0EF6D91A">
      <w:pPr>
        <w:spacing w:before="120" w:after="120"/>
        <w:jc w:val="center"/>
      </w:pPr>
      <w:r>
        <w:rPr>
          <w:rFonts w:ascii="Times New Roman" w:hAnsi="Times New Roman" w:eastAsia="宋体"/>
          <w:b w:val="0"/>
          <w:sz w:val="21"/>
        </w:rPr>
        <w:t>Si(t) = [SINRi(t), RSRPi(t), Di(t), Ti(t), PLRi(t)]    （1）</w:t>
      </w:r>
    </w:p>
    <w:p w14:paraId="3BB08ACD">
      <w:pPr>
        <w:jc w:val="both"/>
      </w:pPr>
      <w:r>
        <w:rPr>
          <w:rFonts w:ascii="Times New Roman" w:hAnsi="Times New Roman" w:eastAsia="宋体"/>
          <w:b w:val="0"/>
          <w:sz w:val="21"/>
        </w:rPr>
        <w:t>式中，SINR为信号与干扰加噪声比（signal-to-interference-plus-noise ratio），RSRP为参考信号接收功率（reference signal received power），D为端到端时延，T为吞吐量，PLR为丢包率（packet loss rate）。SINR、RSRP和吞吐量属于效益型指标，数值越大表示网络质量越好；时延和丢包率属于成本型指标，数值越小表示网络质量越好。为消除不同指标量纲差异，采用归一化方法将所有指标统一映射到同一评价方向，使归一化后的属性值越大表示候选网络越优</w:t>
      </w:r>
      <w:r>
        <w:rPr>
          <w:rFonts w:ascii="Times New Roman" w:hAnsi="Times New Roman" w:eastAsia="宋体"/>
          <w:b w:val="0"/>
          <w:sz w:val="21"/>
          <w:vertAlign w:val="superscript"/>
        </w:rPr>
        <w:t>[22]</w:t>
      </w:r>
      <w:r>
        <w:rPr>
          <w:rFonts w:ascii="Times New Roman" w:hAnsi="Times New Roman" w:eastAsia="宋体"/>
          <w:b w:val="0"/>
          <w:sz w:val="21"/>
        </w:rPr>
        <w:t>。</w:t>
      </w:r>
    </w:p>
    <w:p w14:paraId="571DA969">
      <w:pPr>
        <w:ind w:firstLine="420"/>
        <w:jc w:val="both"/>
        <w:rPr>
          <w:rFonts w:ascii="Times New Roman" w:hAnsi="Times New Roman" w:eastAsia="宋体"/>
          <w:b w:val="0"/>
          <w:sz w:val="21"/>
        </w:rPr>
      </w:pPr>
      <w:r>
        <w:rPr>
          <w:rFonts w:ascii="Times New Roman" w:hAnsi="Times New Roman" w:eastAsia="宋体"/>
          <w:b w:val="0"/>
          <w:sz w:val="21"/>
        </w:rPr>
        <w:t>无人节点移动会引起候选网络信号质量和传输性能持续变化。若仅依据当前时刻指标进行切换决策，容易在高速移动或覆盖边缘场景下出现滞后切换</w:t>
      </w:r>
      <w:r>
        <w:rPr>
          <w:rFonts w:ascii="Times New Roman" w:hAnsi="Times New Roman" w:eastAsia="宋体"/>
          <w:b w:val="0"/>
          <w:sz w:val="21"/>
          <w:vertAlign w:val="superscript"/>
        </w:rPr>
        <w:t>[23]</w:t>
      </w:r>
      <w:r>
        <w:rPr>
          <w:rFonts w:ascii="Times New Roman" w:hAnsi="Times New Roman" w:eastAsia="宋体"/>
          <w:b w:val="0"/>
          <w:sz w:val="21"/>
        </w:rPr>
        <w:t>。因此，算法将过去若干个决策周期的网络状态组织为时序输入，用于预测短期未来状态，并将预测结果与当前状态共同用于最终决策。</w:t>
      </w:r>
    </w:p>
    <w:p w14:paraId="4F33C5AF">
      <w:pPr>
        <w:ind w:firstLine="420"/>
        <w:jc w:val="both"/>
        <w:rPr>
          <w:rFonts w:ascii="Times New Roman" w:hAnsi="Times New Roman" w:eastAsia="宋体"/>
          <w:b w:val="0"/>
          <w:sz w:val="21"/>
        </w:rPr>
      </w:pPr>
    </w:p>
    <w:p w14:paraId="717392A7">
      <w:pPr>
        <w:ind w:firstLine="420"/>
        <w:jc w:val="both"/>
        <w:rPr>
          <w:rFonts w:ascii="Times New Roman" w:hAnsi="Times New Roman" w:eastAsia="宋体"/>
          <w:b w:val="0"/>
          <w:sz w:val="21"/>
        </w:rPr>
      </w:pPr>
    </w:p>
    <w:p w14:paraId="601FBF16">
      <w:pPr>
        <w:ind w:firstLine="420"/>
        <w:jc w:val="both"/>
        <w:rPr>
          <w:rFonts w:ascii="Times New Roman" w:hAnsi="Times New Roman" w:eastAsia="宋体"/>
          <w:b w:val="0"/>
          <w:sz w:val="21"/>
        </w:rPr>
      </w:pPr>
    </w:p>
    <w:p w14:paraId="53573CAB">
      <w:pPr>
        <w:ind w:firstLine="420"/>
        <w:jc w:val="both"/>
        <w:rPr>
          <w:rFonts w:ascii="Times New Roman" w:hAnsi="Times New Roman" w:eastAsia="宋体"/>
          <w:b w:val="0"/>
          <w:sz w:val="21"/>
        </w:rPr>
      </w:pPr>
    </w:p>
    <w:p w14:paraId="4FBEFB70">
      <w:pPr>
        <w:ind w:firstLine="420"/>
        <w:jc w:val="both"/>
        <w:rPr>
          <w:rFonts w:ascii="Times New Roman" w:hAnsi="Times New Roman" w:eastAsia="宋体"/>
          <w:b w:val="0"/>
          <w:sz w:val="21"/>
        </w:rPr>
      </w:pPr>
    </w:p>
    <w:p w14:paraId="0A98CA2F">
      <w:pPr>
        <w:spacing w:before="240" w:after="120"/>
        <w:jc w:val="left"/>
      </w:pPr>
      <w:r>
        <w:rPr>
          <w:rFonts w:ascii="Times New Roman" w:hAnsi="Times New Roman" w:eastAsia="黑体"/>
          <w:b/>
          <w:sz w:val="26"/>
        </w:rPr>
        <w:t>2 LAAVHA自适应垂直切换算法</w:t>
      </w:r>
    </w:p>
    <w:p w14:paraId="0814E8F1">
      <w:pPr>
        <w:spacing w:before="240" w:after="120"/>
        <w:jc w:val="left"/>
      </w:pPr>
      <w:r>
        <w:rPr>
          <w:rFonts w:ascii="Times New Roman" w:hAnsi="Times New Roman" w:eastAsia="黑体"/>
          <w:b/>
          <w:sz w:val="22"/>
        </w:rPr>
        <w:t>2.1 基于堆叠LSTM的网络状态预测</w:t>
      </w:r>
    </w:p>
    <w:p w14:paraId="1F658438">
      <w:pPr>
        <w:ind w:firstLine="420"/>
        <w:jc w:val="both"/>
      </w:pPr>
      <w:r>
        <w:rPr>
          <w:rFonts w:ascii="Times New Roman" w:hAnsi="Times New Roman" w:eastAsia="宋体"/>
          <w:b w:val="0"/>
          <w:sz w:val="21"/>
        </w:rPr>
        <w:t>LSTM通过输入门、遗忘门和输出门的门控结构缓解传统循环神经网络（RNN, recurrent neural network）在长序列训练中的梯度消失问题</w:t>
      </w:r>
      <w:r>
        <w:rPr>
          <w:rFonts w:ascii="Times New Roman" w:hAnsi="Times New Roman" w:eastAsia="宋体"/>
          <w:b w:val="0"/>
          <w:sz w:val="21"/>
          <w:vertAlign w:val="superscript"/>
        </w:rPr>
        <w:t>[15]</w:t>
      </w:r>
      <w:r>
        <w:rPr>
          <w:rFonts w:ascii="Times New Roman" w:hAnsi="Times New Roman" w:eastAsia="宋体"/>
          <w:b w:val="0"/>
          <w:sz w:val="21"/>
        </w:rPr>
        <w:t>，适合处理具有时间相关性的网络状态序列。LAAVHA使用两层堆叠LSTM对候选网络状态进行短期预测。第一层LSTM用于提取底层时序变化特征，第二层LSTM用于进一步提取高层抽象特征，并通过全连接层输出未来时刻的网络状态估计值</w:t>
      </w:r>
      <w:r>
        <w:rPr>
          <w:rFonts w:ascii="Times New Roman" w:hAnsi="Times New Roman" w:eastAsia="宋体"/>
          <w:b w:val="0"/>
          <w:sz w:val="21"/>
          <w:vertAlign w:val="superscript"/>
        </w:rPr>
        <w:t>[16]</w:t>
      </w:r>
      <w:r>
        <w:rPr>
          <w:rFonts w:ascii="Times New Roman" w:hAnsi="Times New Roman" w:eastAsia="宋体"/>
          <w:b w:val="0"/>
          <w:sz w:val="21"/>
        </w:rPr>
        <w:t>。具体配置为：第一层128个隐藏单元，第二层64个隐藏单元，时间窗口T=10。模型采用Adam优化器训练，数据集按80%/10%/10%划分为训练集、验证集和测试集，并引入早停策略防止过拟合。</w:t>
      </w:r>
    </w:p>
    <w:p w14:paraId="773DB582">
      <w:pPr>
        <w:ind w:firstLine="420"/>
        <w:jc w:val="both"/>
      </w:pPr>
      <w:r>
        <w:rPr>
          <w:rFonts w:ascii="Times New Roman" w:hAnsi="Times New Roman" w:eastAsia="宋体"/>
          <w:b w:val="0"/>
          <w:sz w:val="21"/>
        </w:rPr>
        <w:t>设时间窗口长度为T，第i个候选网络的历史输入序列为</w:t>
      </w:r>
    </w:p>
    <w:p w14:paraId="0351034E">
      <w:pPr>
        <w:spacing w:before="120" w:after="120"/>
        <w:jc w:val="center"/>
      </w:pPr>
      <w:r>
        <w:rPr>
          <w:rFonts w:ascii="Times New Roman" w:hAnsi="Times New Roman" w:eastAsia="宋体"/>
          <w:b w:val="0"/>
          <w:sz w:val="21"/>
        </w:rPr>
        <w:t>Xi = [Ŝi(t−T+1), Ŝi(t−T+2), …, Ŝi(t)]    （2）</w:t>
      </w:r>
    </w:p>
    <w:p w14:paraId="26DBA37E">
      <w:pPr>
        <w:ind w:firstLine="420"/>
        <w:jc w:val="both"/>
      </w:pPr>
      <w:r>
        <w:rPr>
          <w:rFonts w:ascii="Times New Roman" w:hAnsi="Times New Roman" w:eastAsia="宋体"/>
          <w:b w:val="0"/>
          <w:sz w:val="21"/>
        </w:rPr>
        <w:t>经LSTM模块处理后，得到预测状态Ŝi(t+Δt)。该预测状态反映短期未来网络质量变化趋势，可为后续切换决策提供前瞻性信息。</w:t>
      </w:r>
    </w:p>
    <w:p w14:paraId="265F1FC8">
      <w:pPr>
        <w:spacing w:before="240" w:after="120"/>
        <w:jc w:val="left"/>
      </w:pPr>
      <w:r>
        <w:rPr>
          <w:rFonts w:ascii="Times New Roman" w:hAnsi="Times New Roman" w:eastAsia="黑体"/>
          <w:b/>
          <w:sz w:val="22"/>
        </w:rPr>
        <w:t>2.2 基于多头注意力机制的动态权重生成</w:t>
      </w:r>
    </w:p>
    <w:p w14:paraId="29C30A2D">
      <w:pPr>
        <w:ind w:firstLine="420"/>
        <w:jc w:val="both"/>
      </w:pPr>
      <w:r>
        <w:rPr>
          <w:rFonts w:ascii="Times New Roman" w:hAnsi="Times New Roman" w:eastAsia="宋体"/>
          <w:b w:val="0"/>
          <w:sz w:val="21"/>
        </w:rPr>
        <w:t>在垂直切换决策中，不同网络属性的重要性会随场景变化而变化。例如，高速移动时，信号质量和链路稳定性对切换决策更加关键；数据密集型业务中，吞吐量的重要性更高；实时控制业务中，时延和丢包率应具有更高权重</w:t>
      </w:r>
      <w:r>
        <w:rPr>
          <w:rFonts w:ascii="Times New Roman" w:hAnsi="Times New Roman" w:eastAsia="宋体"/>
          <w:b w:val="0"/>
          <w:sz w:val="21"/>
          <w:vertAlign w:val="superscript"/>
        </w:rPr>
        <w:t>[24]</w:t>
      </w:r>
      <w:r>
        <w:rPr>
          <w:rFonts w:ascii="Times New Roman" w:hAnsi="Times New Roman" w:eastAsia="宋体"/>
          <w:b w:val="0"/>
          <w:sz w:val="21"/>
        </w:rPr>
        <w:t>。固定权重难以刻画这种动态变化。</w:t>
      </w:r>
    </w:p>
    <w:p w14:paraId="683FA75C">
      <w:pPr>
        <w:ind w:firstLine="420"/>
        <w:jc w:val="both"/>
      </w:pPr>
      <w:r>
        <w:rPr>
          <w:rFonts w:ascii="Times New Roman" w:hAnsi="Times New Roman" w:eastAsia="宋体"/>
          <w:b w:val="0"/>
          <w:sz w:val="21"/>
        </w:rPr>
        <w:t>LAAVHA引入多头注意力机制</w:t>
      </w:r>
      <w:r>
        <w:rPr>
          <w:rFonts w:ascii="Times New Roman" w:hAnsi="Times New Roman" w:eastAsia="宋体"/>
          <w:b w:val="0"/>
          <w:sz w:val="21"/>
          <w:vertAlign w:val="superscript"/>
        </w:rPr>
        <w:t>[18]</w:t>
      </w:r>
      <w:r>
        <w:rPr>
          <w:rFonts w:ascii="Times New Roman" w:hAnsi="Times New Roman" w:eastAsia="宋体"/>
          <w:b w:val="0"/>
          <w:sz w:val="21"/>
        </w:rPr>
        <w:t>，输入当前候选网络状态矩阵和移动状态向量，通过h=4个注意力头学习属性之间的相关性，再经池化和全连接层生成动态权重向量</w:t>
      </w:r>
    </w:p>
    <w:p w14:paraId="24A433BB">
      <w:pPr>
        <w:spacing w:before="120" w:after="120"/>
        <w:jc w:val="center"/>
      </w:pPr>
      <w:r>
        <w:rPr>
          <w:rFonts w:ascii="Times New Roman" w:hAnsi="Times New Roman" w:eastAsia="宋体"/>
          <w:b w:val="0"/>
          <w:sz w:val="21"/>
        </w:rPr>
        <w:t>w = [wSINR, wRSRP, wD, wT, wPLR]，且 ∑wj = 1    （3）</w:t>
      </w:r>
    </w:p>
    <w:p w14:paraId="754361A2">
      <w:pPr>
        <w:ind w:firstLine="420"/>
        <w:jc w:val="both"/>
      </w:pPr>
      <w:r>
        <w:rPr>
          <w:rFonts w:ascii="Times New Roman" w:hAnsi="Times New Roman" w:eastAsia="宋体"/>
          <w:b w:val="0"/>
          <w:sz w:val="21"/>
        </w:rPr>
        <w:t>该权重向量随网络状态和移动状态自适应变化，用于后续TOPSIS加权归一化矩阵计算。由此，算法能够在不同场景下自动调整决策关注重点，提高网络选择的适应性。</w:t>
      </w:r>
    </w:p>
    <w:p w14:paraId="3AD07FBF">
      <w:pPr>
        <w:spacing w:before="240" w:after="120"/>
        <w:jc w:val="left"/>
      </w:pPr>
      <w:r>
        <w:rPr>
          <w:rFonts w:ascii="Times New Roman" w:hAnsi="Times New Roman" w:eastAsia="黑体"/>
          <w:b/>
          <w:sz w:val="22"/>
        </w:rPr>
        <w:t>2.3 融合预测状态的改进TOPSIS决策</w:t>
      </w:r>
    </w:p>
    <w:p w14:paraId="38BE32C3">
      <w:pPr>
        <w:ind w:firstLine="420"/>
        <w:jc w:val="both"/>
      </w:pPr>
      <w:r>
        <w:rPr>
          <w:rFonts w:ascii="Times New Roman" w:hAnsi="Times New Roman" w:eastAsia="宋体"/>
          <w:b w:val="0"/>
          <w:sz w:val="21"/>
        </w:rPr>
        <w:t>TOPSIS的基本思想是选择最接近正理想解、最远离负理想解的候选方案</w:t>
      </w:r>
      <w:r>
        <w:rPr>
          <w:rFonts w:ascii="Times New Roman" w:hAnsi="Times New Roman" w:eastAsia="宋体"/>
          <w:b w:val="0"/>
          <w:sz w:val="21"/>
          <w:vertAlign w:val="superscript"/>
        </w:rPr>
        <w:t>[7-8]</w:t>
      </w:r>
      <w:r>
        <w:rPr>
          <w:rFonts w:ascii="Times New Roman" w:hAnsi="Times New Roman" w:eastAsia="宋体"/>
          <w:b w:val="0"/>
          <w:sz w:val="21"/>
        </w:rPr>
        <w:t>。为避免传统TOPSIS仅依赖当前状态导致的被动决策，LAAVHA将当前状态与LSTM预测状态进行融合，构建决策矩阵</w:t>
      </w:r>
    </w:p>
    <w:p w14:paraId="119780B6">
      <w:pPr>
        <w:spacing w:before="120" w:after="120"/>
        <w:jc w:val="center"/>
      </w:pPr>
      <w:r>
        <w:rPr>
          <w:rFonts w:ascii="Times New Roman" w:hAnsi="Times New Roman" w:eastAsia="宋体"/>
          <w:b w:val="0"/>
          <w:sz w:val="21"/>
        </w:rPr>
        <w:t>dij = α · ŝij(t) + (1−α) · ŝij(t+Δt)    （4）</w:t>
      </w:r>
    </w:p>
    <w:p w14:paraId="71BADD7C">
      <w:pPr>
        <w:jc w:val="both"/>
      </w:pPr>
      <w:r>
        <w:rPr>
          <w:rFonts w:ascii="Times New Roman" w:hAnsi="Times New Roman" w:eastAsia="宋体"/>
          <w:b w:val="0"/>
          <w:sz w:val="21"/>
        </w:rPr>
        <w:t>式中，α为融合系数（本文取α=0.6），用于调节当前状态和预测状态在决策中的占比。得到融合决策矩阵后，算法依次执行向量归一化、动态权重加权、正负理想解确定、欧氏距离计算和相对贴近度计算。候选网络i的相对贴近度为</w:t>
      </w:r>
    </w:p>
    <w:p w14:paraId="0A0042B5">
      <w:pPr>
        <w:spacing w:before="120" w:after="120"/>
        <w:jc w:val="center"/>
      </w:pPr>
      <w:r>
        <w:rPr>
          <w:rFonts w:ascii="Times New Roman" w:hAnsi="Times New Roman" w:eastAsia="宋体"/>
          <w:b w:val="0"/>
          <w:sz w:val="21"/>
        </w:rPr>
        <w:t>Ci = Di⁻ / (Di⁺ + Di⁻)    （5）</w:t>
      </w:r>
    </w:p>
    <w:p w14:paraId="0638D90D">
      <w:pPr>
        <w:jc w:val="both"/>
      </w:pPr>
      <w:r>
        <w:rPr>
          <w:rFonts w:ascii="Times New Roman" w:hAnsi="Times New Roman" w:eastAsia="宋体"/>
          <w:b w:val="0"/>
          <w:sz w:val="21"/>
        </w:rPr>
        <w:t>式中，Di⁺和Di⁻分别表示候选网络到正理想解和负理想解的距离。Ci越大，说明候选网络综合质量越优。</w:t>
      </w:r>
    </w:p>
    <w:p w14:paraId="79DBABFF">
      <w:pPr>
        <w:ind w:firstLine="420"/>
        <w:jc w:val="both"/>
      </w:pPr>
      <w:r>
        <w:rPr>
          <w:rFonts w:ascii="Times New Roman" w:hAnsi="Times New Roman" w:eastAsia="宋体"/>
          <w:b w:val="0"/>
          <w:sz w:val="21"/>
        </w:rPr>
        <w:t>为降低网络状态瞬时波动引发的乒乓切换，算法设置双重滞后机制</w:t>
      </w:r>
      <w:r>
        <w:rPr>
          <w:rFonts w:ascii="Times New Roman" w:hAnsi="Times New Roman" w:eastAsia="宋体"/>
          <w:b w:val="0"/>
          <w:sz w:val="21"/>
          <w:vertAlign w:val="superscript"/>
        </w:rPr>
        <w:t>[25]</w:t>
      </w:r>
      <w:r>
        <w:rPr>
          <w:rFonts w:ascii="Times New Roman" w:hAnsi="Times New Roman" w:eastAsia="宋体"/>
          <w:b w:val="0"/>
          <w:sz w:val="21"/>
        </w:rPr>
        <w:t>。首先，仅当目标网络相对贴近度超过当前网络一定阈值时，才满足切换必要条件；其次，只有连续多个决策周期满足切换条件时才执行切换。该机制能够过滤短时信道波动，提高决策稳定性。</w:t>
      </w:r>
    </w:p>
    <w:p w14:paraId="0324EB73">
      <w:pPr>
        <w:ind w:firstLine="420"/>
        <w:jc w:val="both"/>
        <w:rPr>
          <w:rFonts w:ascii="Times New Roman" w:hAnsi="Times New Roman" w:eastAsia="宋体"/>
          <w:b w:val="0"/>
          <w:sz w:val="21"/>
        </w:rPr>
      </w:pPr>
    </w:p>
    <w:p w14:paraId="1475E3D1">
      <w:pPr>
        <w:spacing w:before="160" w:after="200"/>
        <w:jc w:val="center"/>
      </w:pPr>
      <w:r>
        <w:rPr>
          <w:rFonts w:ascii="Times New Roman" w:hAnsi="Times New Roman" w:eastAsia="黑体"/>
          <w:b w:val="0"/>
          <w:sz w:val="19"/>
        </w:rPr>
        <w:t>表1 LAAVHA垂直切换算法流程</w:t>
      </w:r>
    </w:p>
    <w:tbl>
      <w:tblPr>
        <w:tblStyle w:val="34"/>
        <w:tblW w:w="9524" w:type="dxa"/>
        <w:jc w:val="center"/>
        <w:tblLayout w:type="fixed"/>
        <w:tblCellMar>
          <w:top w:w="0" w:type="dxa"/>
          <w:left w:w="108" w:type="dxa"/>
          <w:bottom w:w="0" w:type="dxa"/>
          <w:right w:w="108" w:type="dxa"/>
        </w:tblCellMar>
      </w:tblPr>
      <w:tblGrid>
        <w:gridCol w:w="4762"/>
        <w:gridCol w:w="4761"/>
      </w:tblGrid>
      <w:tr w14:paraId="45FF7F10">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02ECF183">
            <w:pPr>
              <w:spacing w:before="0" w:after="200"/>
              <w:jc w:val="center"/>
            </w:pPr>
            <w:r>
              <w:rPr>
                <w:rFonts w:ascii="Times New Roman" w:hAnsi="Times New Roman" w:eastAsia="黑体"/>
                <w:b/>
                <w:sz w:val="19"/>
              </w:rPr>
              <w:t>步骤</w:t>
            </w:r>
          </w:p>
        </w:tc>
        <w:tc>
          <w:tcPr>
            <w:tcW w:w="4761" w:type="dxa"/>
            <w:tcBorders>
              <w:top w:val="single" w:color="000000" w:sz="12" w:space="0"/>
              <w:bottom w:val="single" w:color="000000" w:sz="8" w:space="0"/>
            </w:tcBorders>
          </w:tcPr>
          <w:p w14:paraId="13CBBB1E">
            <w:pPr>
              <w:spacing w:before="0" w:after="200"/>
              <w:jc w:val="center"/>
            </w:pPr>
            <w:r>
              <w:rPr>
                <w:rFonts w:ascii="Times New Roman" w:hAnsi="Times New Roman" w:eastAsia="黑体"/>
                <w:b/>
                <w:sz w:val="19"/>
              </w:rPr>
              <w:t>说明</w:t>
            </w:r>
          </w:p>
        </w:tc>
      </w:tr>
      <w:tr w14:paraId="2C350B9E">
        <w:tblPrEx>
          <w:tblCellMar>
            <w:top w:w="0" w:type="dxa"/>
            <w:left w:w="108" w:type="dxa"/>
            <w:bottom w:w="0" w:type="dxa"/>
            <w:right w:w="108" w:type="dxa"/>
          </w:tblCellMar>
        </w:tblPrEx>
        <w:trPr>
          <w:jc w:val="center"/>
        </w:trPr>
        <w:tc>
          <w:tcPr>
            <w:tcW w:w="4762" w:type="dxa"/>
          </w:tcPr>
          <w:p w14:paraId="12B7FA33">
            <w:pPr>
              <w:spacing w:before="0" w:after="200"/>
              <w:jc w:val="center"/>
            </w:pPr>
            <w:r>
              <w:rPr>
                <w:rFonts w:ascii="Times New Roman" w:hAnsi="Times New Roman" w:eastAsia="宋体"/>
                <w:b w:val="0"/>
                <w:sz w:val="19"/>
              </w:rPr>
              <w:t>1</w:t>
            </w:r>
          </w:p>
        </w:tc>
        <w:tc>
          <w:tcPr>
            <w:tcW w:w="4761" w:type="dxa"/>
          </w:tcPr>
          <w:p w14:paraId="7D95A821">
            <w:pPr>
              <w:spacing w:before="0" w:after="200"/>
              <w:jc w:val="center"/>
            </w:pPr>
            <w:r>
              <w:rPr>
                <w:rFonts w:ascii="Times New Roman" w:hAnsi="Times New Roman" w:eastAsia="宋体"/>
                <w:b w:val="0"/>
                <w:sz w:val="19"/>
              </w:rPr>
              <w:t>采集5G、LTE和WiFi候选网络的SINR、RSRP、时延、吞吐量和丢包率</w:t>
            </w:r>
          </w:p>
        </w:tc>
      </w:tr>
      <w:tr w14:paraId="2AD793DB">
        <w:tblPrEx>
          <w:tblCellMar>
            <w:top w:w="0" w:type="dxa"/>
            <w:left w:w="108" w:type="dxa"/>
            <w:bottom w:w="0" w:type="dxa"/>
            <w:right w:w="108" w:type="dxa"/>
          </w:tblCellMar>
        </w:tblPrEx>
        <w:trPr>
          <w:jc w:val="center"/>
        </w:trPr>
        <w:tc>
          <w:tcPr>
            <w:tcW w:w="4762" w:type="dxa"/>
          </w:tcPr>
          <w:p w14:paraId="187EBFE5">
            <w:pPr>
              <w:spacing w:before="0" w:after="200"/>
              <w:jc w:val="center"/>
            </w:pPr>
            <w:r>
              <w:rPr>
                <w:rFonts w:ascii="Times New Roman" w:hAnsi="Times New Roman" w:eastAsia="宋体"/>
                <w:b w:val="0"/>
                <w:sz w:val="19"/>
              </w:rPr>
              <w:t>2</w:t>
            </w:r>
          </w:p>
        </w:tc>
        <w:tc>
          <w:tcPr>
            <w:tcW w:w="4761" w:type="dxa"/>
          </w:tcPr>
          <w:p w14:paraId="1FC74D62">
            <w:pPr>
              <w:spacing w:before="0" w:after="200"/>
              <w:jc w:val="center"/>
            </w:pPr>
            <w:r>
              <w:rPr>
                <w:rFonts w:ascii="Times New Roman" w:hAnsi="Times New Roman" w:eastAsia="宋体"/>
                <w:b w:val="0"/>
                <w:sz w:val="19"/>
              </w:rPr>
              <w:t>对效益型和成本型指标进行归一化处理，构建历史状态序列</w:t>
            </w:r>
          </w:p>
        </w:tc>
      </w:tr>
      <w:tr w14:paraId="37B301F3">
        <w:tblPrEx>
          <w:tblCellMar>
            <w:top w:w="0" w:type="dxa"/>
            <w:left w:w="108" w:type="dxa"/>
            <w:bottom w:w="0" w:type="dxa"/>
            <w:right w:w="108" w:type="dxa"/>
          </w:tblCellMar>
        </w:tblPrEx>
        <w:trPr>
          <w:jc w:val="center"/>
        </w:trPr>
        <w:tc>
          <w:tcPr>
            <w:tcW w:w="4762" w:type="dxa"/>
          </w:tcPr>
          <w:p w14:paraId="06E0EFD7">
            <w:pPr>
              <w:spacing w:before="0" w:after="200"/>
              <w:jc w:val="center"/>
            </w:pPr>
            <w:r>
              <w:rPr>
                <w:rFonts w:ascii="Times New Roman" w:hAnsi="Times New Roman" w:eastAsia="宋体"/>
                <w:b w:val="0"/>
                <w:sz w:val="19"/>
              </w:rPr>
              <w:t>3</w:t>
            </w:r>
          </w:p>
        </w:tc>
        <w:tc>
          <w:tcPr>
            <w:tcW w:w="4761" w:type="dxa"/>
          </w:tcPr>
          <w:p w14:paraId="7380E983">
            <w:pPr>
              <w:spacing w:before="0" w:after="200"/>
              <w:jc w:val="center"/>
            </w:pPr>
            <w:r>
              <w:rPr>
                <w:rFonts w:ascii="Times New Roman" w:hAnsi="Times New Roman" w:eastAsia="宋体"/>
                <w:b w:val="0"/>
                <w:sz w:val="19"/>
              </w:rPr>
              <w:t>利用堆叠LSTM预测各候选网络短期未来状态</w:t>
            </w:r>
          </w:p>
        </w:tc>
      </w:tr>
      <w:tr w14:paraId="3441ED6E">
        <w:tblPrEx>
          <w:tblCellMar>
            <w:top w:w="0" w:type="dxa"/>
            <w:left w:w="108" w:type="dxa"/>
            <w:bottom w:w="0" w:type="dxa"/>
            <w:right w:w="108" w:type="dxa"/>
          </w:tblCellMar>
        </w:tblPrEx>
        <w:trPr>
          <w:jc w:val="center"/>
        </w:trPr>
        <w:tc>
          <w:tcPr>
            <w:tcW w:w="4762" w:type="dxa"/>
          </w:tcPr>
          <w:p w14:paraId="52CB5B47">
            <w:pPr>
              <w:spacing w:before="0" w:after="200"/>
              <w:jc w:val="center"/>
            </w:pPr>
            <w:r>
              <w:rPr>
                <w:rFonts w:ascii="Times New Roman" w:hAnsi="Times New Roman" w:eastAsia="宋体"/>
                <w:b w:val="0"/>
                <w:sz w:val="19"/>
              </w:rPr>
              <w:t>4</w:t>
            </w:r>
          </w:p>
        </w:tc>
        <w:tc>
          <w:tcPr>
            <w:tcW w:w="4761" w:type="dxa"/>
          </w:tcPr>
          <w:p w14:paraId="77BD2690">
            <w:pPr>
              <w:spacing w:before="0" w:after="200"/>
              <w:jc w:val="center"/>
            </w:pPr>
            <w:r>
              <w:rPr>
                <w:rFonts w:ascii="Times New Roman" w:hAnsi="Times New Roman" w:eastAsia="宋体"/>
                <w:b w:val="0"/>
                <w:sz w:val="19"/>
              </w:rPr>
              <w:t>基于多头注意力机制生成动态属性权重</w:t>
            </w:r>
          </w:p>
        </w:tc>
      </w:tr>
      <w:tr w14:paraId="1CD18724">
        <w:tblPrEx>
          <w:tblCellMar>
            <w:top w:w="0" w:type="dxa"/>
            <w:left w:w="108" w:type="dxa"/>
            <w:bottom w:w="0" w:type="dxa"/>
            <w:right w:w="108" w:type="dxa"/>
          </w:tblCellMar>
        </w:tblPrEx>
        <w:trPr>
          <w:jc w:val="center"/>
        </w:trPr>
        <w:tc>
          <w:tcPr>
            <w:tcW w:w="4762" w:type="dxa"/>
          </w:tcPr>
          <w:p w14:paraId="0C6F0BFB">
            <w:pPr>
              <w:spacing w:before="0" w:after="200"/>
              <w:jc w:val="center"/>
            </w:pPr>
            <w:r>
              <w:rPr>
                <w:rFonts w:ascii="Times New Roman" w:hAnsi="Times New Roman" w:eastAsia="宋体"/>
                <w:b w:val="0"/>
                <w:sz w:val="19"/>
              </w:rPr>
              <w:t>5</w:t>
            </w:r>
          </w:p>
        </w:tc>
        <w:tc>
          <w:tcPr>
            <w:tcW w:w="4761" w:type="dxa"/>
          </w:tcPr>
          <w:p w14:paraId="68CF82B6">
            <w:pPr>
              <w:spacing w:before="0" w:after="200"/>
              <w:jc w:val="center"/>
            </w:pPr>
            <w:r>
              <w:rPr>
                <w:rFonts w:ascii="Times New Roman" w:hAnsi="Times New Roman" w:eastAsia="宋体"/>
                <w:b w:val="0"/>
                <w:sz w:val="19"/>
              </w:rPr>
              <w:t>融合当前状态与预测状态，构建改进TOPSIS决策矩阵</w:t>
            </w:r>
          </w:p>
        </w:tc>
      </w:tr>
      <w:tr w14:paraId="10670AC4">
        <w:tblPrEx>
          <w:tblCellMar>
            <w:top w:w="0" w:type="dxa"/>
            <w:left w:w="108" w:type="dxa"/>
            <w:bottom w:w="0" w:type="dxa"/>
            <w:right w:w="108" w:type="dxa"/>
          </w:tblCellMar>
        </w:tblPrEx>
        <w:trPr>
          <w:jc w:val="center"/>
        </w:trPr>
        <w:tc>
          <w:tcPr>
            <w:tcW w:w="4762" w:type="dxa"/>
          </w:tcPr>
          <w:p w14:paraId="72603B86">
            <w:pPr>
              <w:spacing w:before="0" w:after="200"/>
              <w:jc w:val="center"/>
            </w:pPr>
            <w:r>
              <w:rPr>
                <w:rFonts w:ascii="Times New Roman" w:hAnsi="Times New Roman" w:eastAsia="宋体"/>
                <w:b w:val="0"/>
                <w:sz w:val="19"/>
              </w:rPr>
              <w:t>6</w:t>
            </w:r>
          </w:p>
        </w:tc>
        <w:tc>
          <w:tcPr>
            <w:tcW w:w="4761" w:type="dxa"/>
          </w:tcPr>
          <w:p w14:paraId="416146D3">
            <w:pPr>
              <w:spacing w:before="0" w:after="200"/>
              <w:jc w:val="center"/>
            </w:pPr>
            <w:r>
              <w:rPr>
                <w:rFonts w:ascii="Times New Roman" w:hAnsi="Times New Roman" w:eastAsia="宋体"/>
                <w:b w:val="0"/>
                <w:sz w:val="19"/>
              </w:rPr>
              <w:t>计算候选网络相对贴近度，选取得分最高的目标网络</w:t>
            </w:r>
          </w:p>
        </w:tc>
      </w:tr>
      <w:tr w14:paraId="50DD4864">
        <w:tblPrEx>
          <w:tblCellMar>
            <w:top w:w="0" w:type="dxa"/>
            <w:left w:w="108" w:type="dxa"/>
            <w:bottom w:w="0" w:type="dxa"/>
            <w:right w:w="108" w:type="dxa"/>
          </w:tblCellMar>
        </w:tblPrEx>
        <w:trPr>
          <w:jc w:val="center"/>
        </w:trPr>
        <w:tc>
          <w:tcPr>
            <w:tcW w:w="4762" w:type="dxa"/>
            <w:tcBorders>
              <w:bottom w:val="single" w:color="000000" w:sz="12" w:space="0"/>
            </w:tcBorders>
          </w:tcPr>
          <w:p w14:paraId="720737BC">
            <w:pPr>
              <w:spacing w:before="0" w:after="200"/>
              <w:jc w:val="center"/>
            </w:pPr>
            <w:r>
              <w:rPr>
                <w:rFonts w:ascii="Times New Roman" w:hAnsi="Times New Roman" w:eastAsia="宋体"/>
                <w:b w:val="0"/>
                <w:sz w:val="19"/>
              </w:rPr>
              <w:t>7</w:t>
            </w:r>
          </w:p>
        </w:tc>
        <w:tc>
          <w:tcPr>
            <w:tcW w:w="4761" w:type="dxa"/>
            <w:tcBorders>
              <w:bottom w:val="single" w:color="000000" w:sz="12" w:space="0"/>
            </w:tcBorders>
          </w:tcPr>
          <w:p w14:paraId="1877E87C">
            <w:pPr>
              <w:spacing w:before="0" w:after="200"/>
              <w:jc w:val="center"/>
            </w:pPr>
            <w:r>
              <w:rPr>
                <w:rFonts w:ascii="Times New Roman" w:hAnsi="Times New Roman" w:eastAsia="宋体"/>
                <w:b w:val="0"/>
                <w:sz w:val="19"/>
              </w:rPr>
              <w:t>结合贴近度阈值和时间窗口滞后机制输出最终切换决策</w:t>
            </w:r>
          </w:p>
        </w:tc>
      </w:tr>
    </w:tbl>
    <w:p w14:paraId="34B3DB7C"/>
    <w:p w14:paraId="3E2B0141">
      <w:r>
        <w:t>需要指出的是，上述TOPSIS决策流程和双重滞后机制在训练阶段用于生成监督标签，即根据历史网络状态计算各候选网络的相对贴近度并施加滞后约束后，将最优网络编号作为训练目标。部署阶段，训练好的端到端神经网络直接输出目标网络编号，隐式近似了上述多步决策过程，从而在保持决策质量的同时降低了在线计算开销。</w:t>
      </w:r>
    </w:p>
    <w:p w14:paraId="68FE8A5A">
      <w:pPr>
        <w:spacing w:before="240" w:after="120"/>
        <w:jc w:val="left"/>
      </w:pPr>
      <w:r>
        <w:rPr>
          <w:rFonts w:ascii="Times New Roman" w:hAnsi="Times New Roman" w:eastAsia="黑体"/>
          <w:b/>
          <w:sz w:val="26"/>
        </w:rPr>
        <w:t>3 仿真实验与结果分析</w:t>
      </w:r>
    </w:p>
    <w:p w14:paraId="0C84DF6C">
      <w:pPr>
        <w:spacing w:before="240" w:after="120"/>
        <w:jc w:val="left"/>
      </w:pPr>
      <w:r>
        <w:rPr>
          <w:rFonts w:ascii="Times New Roman" w:hAnsi="Times New Roman" w:eastAsia="黑体"/>
          <w:b/>
          <w:sz w:val="22"/>
        </w:rPr>
        <w:t>3.1 实验平台与参数设置</w:t>
      </w:r>
    </w:p>
    <w:p w14:paraId="2A5C8D28">
      <w:pPr>
        <w:ind w:firstLine="420"/>
        <w:jc w:val="both"/>
      </w:pPr>
      <w:r>
        <w:rPr>
          <w:rFonts w:ascii="Times New Roman" w:hAnsi="Times New Roman" w:eastAsia="宋体"/>
          <w:b w:val="0"/>
          <w:sz w:val="21"/>
        </w:rPr>
        <w:t>为验证LAAVHA决策流程的有效性，基于ns-3.45</w:t>
      </w:r>
      <w:r>
        <w:rPr>
          <w:rFonts w:ascii="Times New Roman" w:hAnsi="Times New Roman" w:eastAsia="宋体"/>
          <w:b w:val="0"/>
          <w:sz w:val="21"/>
          <w:vertAlign w:val="superscript"/>
        </w:rPr>
        <w:t>[19]</w:t>
      </w:r>
      <w:r>
        <w:rPr>
          <w:rFonts w:ascii="Times New Roman" w:hAnsi="Times New Roman" w:eastAsia="宋体"/>
          <w:b w:val="0"/>
          <w:sz w:val="21"/>
        </w:rPr>
        <w:t>和ns3-ai</w:t>
      </w:r>
      <w:r>
        <w:rPr>
          <w:rFonts w:ascii="Times New Roman" w:hAnsi="Times New Roman" w:eastAsia="宋体"/>
          <w:b w:val="0"/>
          <w:sz w:val="21"/>
          <w:vertAlign w:val="superscript"/>
        </w:rPr>
        <w:t>[20]</w:t>
      </w:r>
      <w:r>
        <w:rPr>
          <w:rFonts w:ascii="Times New Roman" w:hAnsi="Times New Roman" w:eastAsia="宋体"/>
          <w:b w:val="0"/>
          <w:sz w:val="21"/>
        </w:rPr>
        <w:t>搭建了C++网络仿真与Python模型推理协同平台。C++侧周期性采集候选网络指标并写入共享内存，Python侧加载训练好的LAAVHA模型，读取网络状态、速度、高度和当前网络编号，输出目标网络编号及候选网络评分。网络编号中，0表示5G，1表示LTE，2表示WiFi。模型输入为15维向量（3个候选网络各5项归一化指标拼接），移动状态输入为2维（速度和高度），输出为3维softmax向量对应候选网络评分。</w:t>
      </w:r>
    </w:p>
    <w:p w14:paraId="684DADE0">
      <w:pPr>
        <w:ind w:firstLine="420"/>
        <w:jc w:val="both"/>
      </w:pPr>
      <w:r>
        <w:rPr>
          <w:rFonts w:ascii="Times New Roman" w:hAnsi="Times New Roman" w:eastAsia="宋体"/>
          <w:b w:val="0"/>
          <w:sz w:val="21"/>
        </w:rPr>
        <w:t>实验采用20组随机种子（100~119），仿真时长为10 s，决策周期为0.1 s，每组实验产生100次决策。为增加场景差异，启用位置和高度扰动，位置扰动范围为30 m，高度扰动范围为10 m。实验采用LAAVHA单算法模式，记录每次决策的候选网络评分、SINR、当前网络、目标网络和切换标记。</w:t>
      </w:r>
    </w:p>
    <w:p w14:paraId="41F4BE51">
      <w:pPr>
        <w:ind w:firstLine="420"/>
        <w:jc w:val="both"/>
      </w:pPr>
      <w:r>
        <w:rPr>
          <w:rFonts w:ascii="Times New Roman" w:hAnsi="Times New Roman" w:eastAsia="宋体"/>
          <w:b w:val="0"/>
          <w:sz w:val="21"/>
        </w:rPr>
        <w:t>需要说明的是，当前实验属于决策级验证。5G候选网络由代理链路表示，其SINR和RSRP由基于位置的传播模型计算，传输类指标来自点到点代理流的FlowMonitor统计；切换事件表示LAAVHA输出的网络编号变化，并未执行真实WiFi解除关联、LTE分离或5G新空口（NR, new radio）协议栈切换。各候选网络指标来源见表2。</w:t>
      </w:r>
    </w:p>
    <w:p w14:paraId="1D8A66FC">
      <w:pPr>
        <w:ind w:firstLine="420"/>
        <w:jc w:val="both"/>
        <w:rPr>
          <w:rFonts w:ascii="Times New Roman" w:hAnsi="Times New Roman" w:eastAsia="宋体"/>
          <w:b w:val="0"/>
          <w:sz w:val="21"/>
        </w:rPr>
      </w:pPr>
    </w:p>
    <w:p w14:paraId="49B6038C">
      <w:pPr>
        <w:ind w:firstLine="420"/>
        <w:jc w:val="both"/>
        <w:rPr>
          <w:rFonts w:ascii="Times New Roman" w:hAnsi="Times New Roman" w:eastAsia="宋体"/>
          <w:b w:val="0"/>
          <w:sz w:val="21"/>
        </w:rPr>
      </w:pPr>
    </w:p>
    <w:p w14:paraId="4351FFA5">
      <w:pPr>
        <w:spacing w:before="160" w:after="200"/>
        <w:jc w:val="center"/>
      </w:pPr>
      <w:r>
        <w:rPr>
          <w:rFonts w:ascii="Times New Roman" w:hAnsi="Times New Roman" w:eastAsia="黑体"/>
          <w:b w:val="0"/>
          <w:sz w:val="19"/>
        </w:rPr>
        <w:t>表2 候选网络指标来源</w:t>
      </w:r>
    </w:p>
    <w:tbl>
      <w:tblPr>
        <w:tblStyle w:val="34"/>
        <w:tblW w:w="9526" w:type="dxa"/>
        <w:jc w:val="center"/>
        <w:tblLayout w:type="fixed"/>
        <w:tblCellMar>
          <w:top w:w="0" w:type="dxa"/>
          <w:left w:w="108" w:type="dxa"/>
          <w:bottom w:w="0" w:type="dxa"/>
          <w:right w:w="108" w:type="dxa"/>
        </w:tblCellMar>
      </w:tblPr>
      <w:tblGrid>
        <w:gridCol w:w="1905"/>
        <w:gridCol w:w="1905"/>
        <w:gridCol w:w="1905"/>
        <w:gridCol w:w="1905"/>
        <w:gridCol w:w="1906"/>
      </w:tblGrid>
      <w:tr w14:paraId="129E9734">
        <w:tblPrEx>
          <w:tblCellMar>
            <w:top w:w="0" w:type="dxa"/>
            <w:left w:w="108" w:type="dxa"/>
            <w:bottom w:w="0" w:type="dxa"/>
            <w:right w:w="108" w:type="dxa"/>
          </w:tblCellMar>
        </w:tblPrEx>
        <w:trPr>
          <w:jc w:val="center"/>
        </w:trPr>
        <w:tc>
          <w:tcPr>
            <w:tcW w:w="1905" w:type="dxa"/>
            <w:tcBorders>
              <w:top w:val="single" w:color="000000" w:sz="12" w:space="0"/>
              <w:bottom w:val="single" w:color="000000" w:sz="8" w:space="0"/>
            </w:tcBorders>
          </w:tcPr>
          <w:p w14:paraId="0CC34C35">
            <w:pPr>
              <w:spacing w:before="0" w:after="200"/>
              <w:jc w:val="center"/>
            </w:pPr>
            <w:r>
              <w:rPr>
                <w:rFonts w:ascii="Times New Roman" w:hAnsi="Times New Roman" w:eastAsia="黑体"/>
                <w:b/>
                <w:sz w:val="19"/>
              </w:rPr>
              <w:t>网络</w:t>
            </w:r>
          </w:p>
        </w:tc>
        <w:tc>
          <w:tcPr>
            <w:tcW w:w="1905" w:type="dxa"/>
            <w:tcBorders>
              <w:top w:val="single" w:color="000000" w:sz="12" w:space="0"/>
              <w:bottom w:val="single" w:color="000000" w:sz="8" w:space="0"/>
            </w:tcBorders>
          </w:tcPr>
          <w:p w14:paraId="41B2DFE5">
            <w:pPr>
              <w:spacing w:before="0" w:after="200"/>
              <w:jc w:val="center"/>
            </w:pPr>
            <w:r>
              <w:rPr>
                <w:rFonts w:ascii="Times New Roman" w:hAnsi="Times New Roman" w:eastAsia="黑体"/>
                <w:b/>
                <w:sz w:val="19"/>
              </w:rPr>
              <w:t>SINR/RSRP</w:t>
            </w:r>
          </w:p>
        </w:tc>
        <w:tc>
          <w:tcPr>
            <w:tcW w:w="1905" w:type="dxa"/>
            <w:tcBorders>
              <w:top w:val="single" w:color="000000" w:sz="12" w:space="0"/>
              <w:bottom w:val="single" w:color="000000" w:sz="8" w:space="0"/>
            </w:tcBorders>
          </w:tcPr>
          <w:p w14:paraId="002C3A48">
            <w:pPr>
              <w:spacing w:before="0" w:after="200"/>
              <w:jc w:val="center"/>
            </w:pPr>
            <w:r>
              <w:rPr>
                <w:rFonts w:ascii="Times New Roman" w:hAnsi="Times New Roman" w:eastAsia="黑体"/>
                <w:b/>
                <w:sz w:val="19"/>
              </w:rPr>
              <w:t>时延</w:t>
            </w:r>
          </w:p>
        </w:tc>
        <w:tc>
          <w:tcPr>
            <w:tcW w:w="1905" w:type="dxa"/>
            <w:tcBorders>
              <w:top w:val="single" w:color="000000" w:sz="12" w:space="0"/>
              <w:bottom w:val="single" w:color="000000" w:sz="8" w:space="0"/>
            </w:tcBorders>
          </w:tcPr>
          <w:p w14:paraId="3971A61D">
            <w:pPr>
              <w:spacing w:before="0" w:after="200"/>
              <w:jc w:val="center"/>
            </w:pPr>
            <w:r>
              <w:rPr>
                <w:rFonts w:ascii="Times New Roman" w:hAnsi="Times New Roman" w:eastAsia="黑体"/>
                <w:b/>
                <w:sz w:val="19"/>
              </w:rPr>
              <w:t>吞吐量</w:t>
            </w:r>
          </w:p>
        </w:tc>
        <w:tc>
          <w:tcPr>
            <w:tcW w:w="1906" w:type="dxa"/>
            <w:tcBorders>
              <w:top w:val="single" w:color="000000" w:sz="12" w:space="0"/>
              <w:bottom w:val="single" w:color="000000" w:sz="8" w:space="0"/>
            </w:tcBorders>
          </w:tcPr>
          <w:p w14:paraId="4392D527">
            <w:pPr>
              <w:spacing w:before="0" w:after="200"/>
              <w:jc w:val="center"/>
            </w:pPr>
            <w:r>
              <w:rPr>
                <w:rFonts w:ascii="Times New Roman" w:hAnsi="Times New Roman" w:eastAsia="黑体"/>
                <w:b/>
                <w:sz w:val="19"/>
              </w:rPr>
              <w:t>丢包率</w:t>
            </w:r>
          </w:p>
        </w:tc>
      </w:tr>
      <w:tr w14:paraId="571528ED">
        <w:tblPrEx>
          <w:tblCellMar>
            <w:top w:w="0" w:type="dxa"/>
            <w:left w:w="108" w:type="dxa"/>
            <w:bottom w:w="0" w:type="dxa"/>
            <w:right w:w="108" w:type="dxa"/>
          </w:tblCellMar>
        </w:tblPrEx>
        <w:trPr>
          <w:jc w:val="center"/>
        </w:trPr>
        <w:tc>
          <w:tcPr>
            <w:tcW w:w="1905" w:type="dxa"/>
          </w:tcPr>
          <w:p w14:paraId="2911BF39">
            <w:pPr>
              <w:spacing w:before="0" w:after="200"/>
              <w:jc w:val="center"/>
            </w:pPr>
            <w:r>
              <w:rPr>
                <w:rFonts w:ascii="Times New Roman" w:hAnsi="Times New Roman" w:eastAsia="宋体"/>
                <w:b w:val="0"/>
                <w:sz w:val="19"/>
              </w:rPr>
              <w:t>WiFi</w:t>
            </w:r>
          </w:p>
        </w:tc>
        <w:tc>
          <w:tcPr>
            <w:tcW w:w="1905" w:type="dxa"/>
          </w:tcPr>
          <w:p w14:paraId="3DEC26D6">
            <w:pPr>
              <w:spacing w:before="0" w:after="200"/>
              <w:jc w:val="center"/>
            </w:pPr>
            <w:r>
              <w:rPr>
                <w:rFonts w:ascii="Times New Roman" w:hAnsi="Times New Roman" w:eastAsia="宋体"/>
                <w:b w:val="0"/>
                <w:sz w:val="19"/>
              </w:rPr>
              <w:t>基于MobilityModel位置的传播代理值</w:t>
            </w:r>
          </w:p>
        </w:tc>
        <w:tc>
          <w:tcPr>
            <w:tcW w:w="1905" w:type="dxa"/>
          </w:tcPr>
          <w:p w14:paraId="2CAB7A1F">
            <w:pPr>
              <w:spacing w:before="0" w:after="200"/>
              <w:jc w:val="center"/>
            </w:pPr>
            <w:r>
              <w:rPr>
                <w:rFonts w:ascii="Times New Roman" w:hAnsi="Times New Roman" w:eastAsia="宋体"/>
                <w:b w:val="0"/>
                <w:sz w:val="19"/>
              </w:rPr>
              <w:t>FlowMonitor</w:t>
            </w:r>
          </w:p>
        </w:tc>
        <w:tc>
          <w:tcPr>
            <w:tcW w:w="1905" w:type="dxa"/>
          </w:tcPr>
          <w:p w14:paraId="282292B7">
            <w:pPr>
              <w:spacing w:before="0" w:after="200"/>
              <w:jc w:val="center"/>
            </w:pPr>
            <w:r>
              <w:rPr>
                <w:rFonts w:ascii="Times New Roman" w:hAnsi="Times New Roman" w:eastAsia="宋体"/>
                <w:b w:val="0"/>
                <w:sz w:val="19"/>
              </w:rPr>
              <w:t>PacketSink区间接收字节</w:t>
            </w:r>
          </w:p>
        </w:tc>
        <w:tc>
          <w:tcPr>
            <w:tcW w:w="1906" w:type="dxa"/>
          </w:tcPr>
          <w:p w14:paraId="56DEFF0A">
            <w:pPr>
              <w:spacing w:before="0" w:after="200"/>
              <w:jc w:val="center"/>
            </w:pPr>
            <w:r>
              <w:rPr>
                <w:rFonts w:ascii="Times New Roman" w:hAnsi="Times New Roman" w:eastAsia="宋体"/>
                <w:b w:val="0"/>
                <w:sz w:val="19"/>
              </w:rPr>
              <w:t>FlowMonitor</w:t>
            </w:r>
          </w:p>
        </w:tc>
      </w:tr>
      <w:tr w14:paraId="519801A7">
        <w:tblPrEx>
          <w:tblCellMar>
            <w:top w:w="0" w:type="dxa"/>
            <w:left w:w="108" w:type="dxa"/>
            <w:bottom w:w="0" w:type="dxa"/>
            <w:right w:w="108" w:type="dxa"/>
          </w:tblCellMar>
        </w:tblPrEx>
        <w:trPr>
          <w:jc w:val="center"/>
        </w:trPr>
        <w:tc>
          <w:tcPr>
            <w:tcW w:w="1905" w:type="dxa"/>
          </w:tcPr>
          <w:p w14:paraId="77064F91">
            <w:pPr>
              <w:spacing w:before="0" w:after="200"/>
              <w:jc w:val="center"/>
            </w:pPr>
            <w:r>
              <w:rPr>
                <w:rFonts w:ascii="Times New Roman" w:hAnsi="Times New Roman" w:eastAsia="宋体"/>
                <w:b w:val="0"/>
                <w:sz w:val="19"/>
              </w:rPr>
              <w:t>LTE</w:t>
            </w:r>
          </w:p>
        </w:tc>
        <w:tc>
          <w:tcPr>
            <w:tcW w:w="1905" w:type="dxa"/>
          </w:tcPr>
          <w:p w14:paraId="683F2159">
            <w:pPr>
              <w:spacing w:before="0" w:after="200"/>
              <w:jc w:val="center"/>
            </w:pPr>
            <w:r>
              <w:rPr>
                <w:rFonts w:ascii="Times New Roman" w:hAnsi="Times New Roman" w:eastAsia="宋体"/>
                <w:b w:val="0"/>
                <w:sz w:val="19"/>
              </w:rPr>
              <w:t>基于MobilityModel位置的传播代理值</w:t>
            </w:r>
          </w:p>
        </w:tc>
        <w:tc>
          <w:tcPr>
            <w:tcW w:w="1905" w:type="dxa"/>
          </w:tcPr>
          <w:p w14:paraId="27D3A659">
            <w:pPr>
              <w:spacing w:before="0" w:after="200"/>
              <w:jc w:val="center"/>
            </w:pPr>
            <w:r>
              <w:rPr>
                <w:rFonts w:ascii="Times New Roman" w:hAnsi="Times New Roman" w:eastAsia="宋体"/>
                <w:b w:val="0"/>
                <w:sz w:val="19"/>
              </w:rPr>
              <w:t>FlowMonitor</w:t>
            </w:r>
          </w:p>
        </w:tc>
        <w:tc>
          <w:tcPr>
            <w:tcW w:w="1905" w:type="dxa"/>
          </w:tcPr>
          <w:p w14:paraId="5BB0CF87">
            <w:pPr>
              <w:spacing w:before="0" w:after="200"/>
              <w:jc w:val="center"/>
            </w:pPr>
            <w:r>
              <w:rPr>
                <w:rFonts w:ascii="Times New Roman" w:hAnsi="Times New Roman" w:eastAsia="宋体"/>
                <w:b w:val="0"/>
                <w:sz w:val="19"/>
              </w:rPr>
              <w:t>FlowMonitor</w:t>
            </w:r>
          </w:p>
        </w:tc>
        <w:tc>
          <w:tcPr>
            <w:tcW w:w="1906" w:type="dxa"/>
          </w:tcPr>
          <w:p w14:paraId="0BCCF80C">
            <w:pPr>
              <w:spacing w:before="0" w:after="200"/>
              <w:jc w:val="center"/>
            </w:pPr>
            <w:r>
              <w:rPr>
                <w:rFonts w:ascii="Times New Roman" w:hAnsi="Times New Roman" w:eastAsia="宋体"/>
                <w:b w:val="0"/>
                <w:sz w:val="19"/>
              </w:rPr>
              <w:t>FlowMonitor</w:t>
            </w:r>
          </w:p>
        </w:tc>
      </w:tr>
      <w:tr w14:paraId="24A5458D">
        <w:tblPrEx>
          <w:tblCellMar>
            <w:top w:w="0" w:type="dxa"/>
            <w:left w:w="108" w:type="dxa"/>
            <w:bottom w:w="0" w:type="dxa"/>
            <w:right w:w="108" w:type="dxa"/>
          </w:tblCellMar>
        </w:tblPrEx>
        <w:trPr>
          <w:jc w:val="center"/>
        </w:trPr>
        <w:tc>
          <w:tcPr>
            <w:tcW w:w="1905" w:type="dxa"/>
            <w:tcBorders>
              <w:bottom w:val="single" w:color="000000" w:sz="12" w:space="0"/>
            </w:tcBorders>
          </w:tcPr>
          <w:p w14:paraId="4966BCDE">
            <w:pPr>
              <w:spacing w:before="0" w:after="200"/>
              <w:jc w:val="center"/>
            </w:pPr>
            <w:r>
              <w:rPr>
                <w:rFonts w:ascii="Times New Roman" w:hAnsi="Times New Roman" w:eastAsia="宋体"/>
                <w:b w:val="0"/>
                <w:sz w:val="19"/>
              </w:rPr>
              <w:t>5G</w:t>
            </w:r>
          </w:p>
        </w:tc>
        <w:tc>
          <w:tcPr>
            <w:tcW w:w="1905" w:type="dxa"/>
            <w:tcBorders>
              <w:bottom w:val="single" w:color="000000" w:sz="12" w:space="0"/>
            </w:tcBorders>
          </w:tcPr>
          <w:p w14:paraId="190E5648">
            <w:pPr>
              <w:spacing w:before="0" w:after="200"/>
              <w:jc w:val="center"/>
            </w:pPr>
            <w:r>
              <w:rPr>
                <w:rFonts w:ascii="Times New Roman" w:hAnsi="Times New Roman" w:eastAsia="宋体"/>
                <w:b w:val="0"/>
                <w:sz w:val="19"/>
              </w:rPr>
              <w:t>到假设下一代节点B（gNB, next generation NodeB）的传播代理值</w:t>
            </w:r>
          </w:p>
        </w:tc>
        <w:tc>
          <w:tcPr>
            <w:tcW w:w="1905" w:type="dxa"/>
            <w:tcBorders>
              <w:bottom w:val="single" w:color="000000" w:sz="12" w:space="0"/>
            </w:tcBorders>
          </w:tcPr>
          <w:p w14:paraId="10E18A71">
            <w:pPr>
              <w:spacing w:before="0" w:after="200"/>
              <w:jc w:val="center"/>
            </w:pPr>
            <w:r>
              <w:rPr>
                <w:rFonts w:ascii="Times New Roman" w:hAnsi="Times New Roman" w:eastAsia="宋体"/>
                <w:b w:val="0"/>
                <w:sz w:val="19"/>
              </w:rPr>
              <w:t>点到点代理流FlowMonitor</w:t>
            </w:r>
          </w:p>
        </w:tc>
        <w:tc>
          <w:tcPr>
            <w:tcW w:w="1905" w:type="dxa"/>
            <w:tcBorders>
              <w:bottom w:val="single" w:color="000000" w:sz="12" w:space="0"/>
            </w:tcBorders>
          </w:tcPr>
          <w:p w14:paraId="7903AAA0">
            <w:pPr>
              <w:spacing w:before="0" w:after="200"/>
              <w:jc w:val="center"/>
            </w:pPr>
            <w:r>
              <w:rPr>
                <w:rFonts w:ascii="Times New Roman" w:hAnsi="Times New Roman" w:eastAsia="宋体"/>
                <w:b w:val="0"/>
                <w:sz w:val="19"/>
              </w:rPr>
              <w:t>点到点代理流FlowMonitor</w:t>
            </w:r>
          </w:p>
        </w:tc>
        <w:tc>
          <w:tcPr>
            <w:tcW w:w="1906" w:type="dxa"/>
            <w:tcBorders>
              <w:bottom w:val="single" w:color="000000" w:sz="12" w:space="0"/>
            </w:tcBorders>
          </w:tcPr>
          <w:p w14:paraId="5329424D">
            <w:pPr>
              <w:spacing w:before="0" w:after="200"/>
              <w:jc w:val="center"/>
            </w:pPr>
            <w:r>
              <w:rPr>
                <w:rFonts w:ascii="Times New Roman" w:hAnsi="Times New Roman" w:eastAsia="宋体"/>
                <w:b w:val="0"/>
                <w:sz w:val="19"/>
              </w:rPr>
              <w:t>点到点代理流FlowMonitor</w:t>
            </w:r>
          </w:p>
        </w:tc>
      </w:tr>
    </w:tbl>
    <w:p w14:paraId="36691744"/>
    <w:p w14:paraId="0212CB6B">
      <w:pPr>
        <w:spacing w:before="160" w:after="200"/>
        <w:jc w:val="center"/>
      </w:pPr>
      <w:r>
        <w:rPr>
          <w:rFonts w:ascii="Times New Roman" w:hAnsi="Times New Roman" w:eastAsia="黑体"/>
          <w:b w:val="0"/>
          <w:sz w:val="19"/>
        </w:rPr>
        <w:t>表3 实验参数设置</w:t>
      </w:r>
    </w:p>
    <w:tbl>
      <w:tblPr>
        <w:tblStyle w:val="34"/>
        <w:tblW w:w="9524" w:type="dxa"/>
        <w:jc w:val="center"/>
        <w:tblLayout w:type="fixed"/>
        <w:tblCellMar>
          <w:top w:w="0" w:type="dxa"/>
          <w:left w:w="108" w:type="dxa"/>
          <w:bottom w:w="0" w:type="dxa"/>
          <w:right w:w="108" w:type="dxa"/>
        </w:tblCellMar>
      </w:tblPr>
      <w:tblGrid>
        <w:gridCol w:w="4762"/>
        <w:gridCol w:w="4761"/>
      </w:tblGrid>
      <w:tr w14:paraId="03D611B0">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69B2B936">
            <w:pPr>
              <w:spacing w:before="0" w:after="200"/>
              <w:jc w:val="center"/>
            </w:pPr>
            <w:r>
              <w:rPr>
                <w:rFonts w:ascii="Times New Roman" w:hAnsi="Times New Roman" w:eastAsia="黑体"/>
                <w:b/>
                <w:sz w:val="19"/>
              </w:rPr>
              <w:t>参数</w:t>
            </w:r>
          </w:p>
        </w:tc>
        <w:tc>
          <w:tcPr>
            <w:tcW w:w="4761" w:type="dxa"/>
            <w:tcBorders>
              <w:top w:val="single" w:color="000000" w:sz="12" w:space="0"/>
              <w:bottom w:val="single" w:color="000000" w:sz="8" w:space="0"/>
            </w:tcBorders>
          </w:tcPr>
          <w:p w14:paraId="62F30F91">
            <w:pPr>
              <w:spacing w:before="0" w:after="200"/>
              <w:jc w:val="center"/>
            </w:pPr>
            <w:r>
              <w:rPr>
                <w:rFonts w:ascii="Times New Roman" w:hAnsi="Times New Roman" w:eastAsia="黑体"/>
                <w:b/>
                <w:sz w:val="19"/>
              </w:rPr>
              <w:t>取值</w:t>
            </w:r>
          </w:p>
        </w:tc>
      </w:tr>
      <w:tr w14:paraId="0E8EDCEA">
        <w:tblPrEx>
          <w:tblCellMar>
            <w:top w:w="0" w:type="dxa"/>
            <w:left w:w="108" w:type="dxa"/>
            <w:bottom w:w="0" w:type="dxa"/>
            <w:right w:w="108" w:type="dxa"/>
          </w:tblCellMar>
        </w:tblPrEx>
        <w:trPr>
          <w:jc w:val="center"/>
        </w:trPr>
        <w:tc>
          <w:tcPr>
            <w:tcW w:w="4762" w:type="dxa"/>
          </w:tcPr>
          <w:p w14:paraId="1597FF1A">
            <w:pPr>
              <w:spacing w:before="0" w:after="200"/>
              <w:jc w:val="center"/>
            </w:pPr>
            <w:r>
              <w:rPr>
                <w:rFonts w:ascii="Times New Roman" w:hAnsi="Times New Roman" w:eastAsia="宋体"/>
                <w:b w:val="0"/>
                <w:sz w:val="19"/>
              </w:rPr>
              <w:t>仿真平台</w:t>
            </w:r>
          </w:p>
        </w:tc>
        <w:tc>
          <w:tcPr>
            <w:tcW w:w="4761" w:type="dxa"/>
          </w:tcPr>
          <w:p w14:paraId="7F691548">
            <w:pPr>
              <w:spacing w:before="0" w:after="200"/>
              <w:jc w:val="center"/>
            </w:pPr>
            <w:r>
              <w:rPr>
                <w:rFonts w:ascii="Times New Roman" w:hAnsi="Times New Roman" w:eastAsia="宋体"/>
                <w:b w:val="0"/>
                <w:sz w:val="19"/>
              </w:rPr>
              <w:t>ns-3.45，ns3-ai，Python/PyTorch</w:t>
            </w:r>
          </w:p>
        </w:tc>
      </w:tr>
      <w:tr w14:paraId="6B9A2921">
        <w:tblPrEx>
          <w:tblCellMar>
            <w:top w:w="0" w:type="dxa"/>
            <w:left w:w="108" w:type="dxa"/>
            <w:bottom w:w="0" w:type="dxa"/>
            <w:right w:w="108" w:type="dxa"/>
          </w:tblCellMar>
        </w:tblPrEx>
        <w:trPr>
          <w:jc w:val="center"/>
        </w:trPr>
        <w:tc>
          <w:tcPr>
            <w:tcW w:w="4762" w:type="dxa"/>
          </w:tcPr>
          <w:p w14:paraId="2DE2D1FF">
            <w:pPr>
              <w:spacing w:before="0" w:after="200"/>
              <w:jc w:val="center"/>
            </w:pPr>
            <w:r>
              <w:rPr>
                <w:rFonts w:ascii="Times New Roman" w:hAnsi="Times New Roman" w:eastAsia="宋体"/>
                <w:b w:val="0"/>
                <w:sz w:val="19"/>
              </w:rPr>
              <w:t>候选网络</w:t>
            </w:r>
          </w:p>
        </w:tc>
        <w:tc>
          <w:tcPr>
            <w:tcW w:w="4761" w:type="dxa"/>
          </w:tcPr>
          <w:p w14:paraId="4D4023E0">
            <w:pPr>
              <w:spacing w:before="0" w:after="200"/>
              <w:jc w:val="center"/>
            </w:pPr>
            <w:r>
              <w:rPr>
                <w:rFonts w:ascii="Times New Roman" w:hAnsi="Times New Roman" w:eastAsia="宋体"/>
                <w:b w:val="0"/>
                <w:sz w:val="19"/>
              </w:rPr>
              <w:t>5G、LTE、WiFi</w:t>
            </w:r>
          </w:p>
        </w:tc>
      </w:tr>
      <w:tr w14:paraId="4AC1FDD3">
        <w:tblPrEx>
          <w:tblCellMar>
            <w:top w:w="0" w:type="dxa"/>
            <w:left w:w="108" w:type="dxa"/>
            <w:bottom w:w="0" w:type="dxa"/>
            <w:right w:w="108" w:type="dxa"/>
          </w:tblCellMar>
        </w:tblPrEx>
        <w:trPr>
          <w:jc w:val="center"/>
        </w:trPr>
        <w:tc>
          <w:tcPr>
            <w:tcW w:w="4762" w:type="dxa"/>
          </w:tcPr>
          <w:p w14:paraId="37CC313F">
            <w:pPr>
              <w:spacing w:before="0" w:after="200"/>
              <w:jc w:val="center"/>
            </w:pPr>
            <w:r>
              <w:rPr>
                <w:rFonts w:ascii="Times New Roman" w:hAnsi="Times New Roman" w:eastAsia="宋体"/>
                <w:b w:val="0"/>
                <w:sz w:val="19"/>
              </w:rPr>
              <w:t>算法模式</w:t>
            </w:r>
          </w:p>
        </w:tc>
        <w:tc>
          <w:tcPr>
            <w:tcW w:w="4761" w:type="dxa"/>
          </w:tcPr>
          <w:p w14:paraId="2D19CB4D">
            <w:pPr>
              <w:spacing w:before="0" w:after="200"/>
              <w:jc w:val="center"/>
            </w:pPr>
            <w:r>
              <w:rPr>
                <w:rFonts w:ascii="Times New Roman" w:hAnsi="Times New Roman" w:eastAsia="宋体"/>
                <w:b w:val="0"/>
                <w:sz w:val="19"/>
              </w:rPr>
              <w:t>LAAVHA</w:t>
            </w:r>
          </w:p>
        </w:tc>
      </w:tr>
      <w:tr w14:paraId="325A1005">
        <w:tblPrEx>
          <w:tblCellMar>
            <w:top w:w="0" w:type="dxa"/>
            <w:left w:w="108" w:type="dxa"/>
            <w:bottom w:w="0" w:type="dxa"/>
            <w:right w:w="108" w:type="dxa"/>
          </w:tblCellMar>
        </w:tblPrEx>
        <w:trPr>
          <w:jc w:val="center"/>
        </w:trPr>
        <w:tc>
          <w:tcPr>
            <w:tcW w:w="4762" w:type="dxa"/>
          </w:tcPr>
          <w:p w14:paraId="5495DE9E">
            <w:pPr>
              <w:spacing w:before="0" w:after="200"/>
              <w:jc w:val="center"/>
            </w:pPr>
            <w:r>
              <w:rPr>
                <w:rFonts w:ascii="Times New Roman" w:hAnsi="Times New Roman" w:eastAsia="宋体"/>
                <w:b w:val="0"/>
                <w:sz w:val="19"/>
              </w:rPr>
              <w:t>运行次数</w:t>
            </w:r>
          </w:p>
        </w:tc>
        <w:tc>
          <w:tcPr>
            <w:tcW w:w="4761" w:type="dxa"/>
          </w:tcPr>
          <w:p w14:paraId="0C3016FD">
            <w:pPr>
              <w:spacing w:before="0" w:after="200"/>
              <w:jc w:val="center"/>
            </w:pPr>
            <w:r>
              <w:rPr>
                <w:rFonts w:ascii="Times New Roman" w:hAnsi="Times New Roman" w:eastAsia="宋体"/>
                <w:b w:val="0"/>
                <w:sz w:val="19"/>
              </w:rPr>
              <w:t>20</w:t>
            </w:r>
          </w:p>
        </w:tc>
      </w:tr>
      <w:tr w14:paraId="13164D8F">
        <w:tblPrEx>
          <w:tblCellMar>
            <w:top w:w="0" w:type="dxa"/>
            <w:left w:w="108" w:type="dxa"/>
            <w:bottom w:w="0" w:type="dxa"/>
            <w:right w:w="108" w:type="dxa"/>
          </w:tblCellMar>
        </w:tblPrEx>
        <w:trPr>
          <w:jc w:val="center"/>
        </w:trPr>
        <w:tc>
          <w:tcPr>
            <w:tcW w:w="4762" w:type="dxa"/>
          </w:tcPr>
          <w:p w14:paraId="630C517B">
            <w:pPr>
              <w:spacing w:before="0" w:after="200"/>
              <w:jc w:val="center"/>
            </w:pPr>
            <w:r>
              <w:rPr>
                <w:rFonts w:ascii="Times New Roman" w:hAnsi="Times New Roman" w:eastAsia="宋体"/>
                <w:b w:val="0"/>
                <w:sz w:val="19"/>
              </w:rPr>
              <w:t>仿真时长</w:t>
            </w:r>
          </w:p>
        </w:tc>
        <w:tc>
          <w:tcPr>
            <w:tcW w:w="4761" w:type="dxa"/>
          </w:tcPr>
          <w:p w14:paraId="3BDFD3D0">
            <w:pPr>
              <w:spacing w:before="0" w:after="200"/>
              <w:jc w:val="center"/>
            </w:pPr>
            <w:r>
              <w:rPr>
                <w:rFonts w:ascii="Times New Roman" w:hAnsi="Times New Roman" w:eastAsia="宋体"/>
                <w:b w:val="0"/>
                <w:sz w:val="19"/>
              </w:rPr>
              <w:t>10 s</w:t>
            </w:r>
          </w:p>
        </w:tc>
      </w:tr>
      <w:tr w14:paraId="191CF564">
        <w:tblPrEx>
          <w:tblCellMar>
            <w:top w:w="0" w:type="dxa"/>
            <w:left w:w="108" w:type="dxa"/>
            <w:bottom w:w="0" w:type="dxa"/>
            <w:right w:w="108" w:type="dxa"/>
          </w:tblCellMar>
        </w:tblPrEx>
        <w:trPr>
          <w:jc w:val="center"/>
        </w:trPr>
        <w:tc>
          <w:tcPr>
            <w:tcW w:w="4762" w:type="dxa"/>
          </w:tcPr>
          <w:p w14:paraId="7A0809DE">
            <w:pPr>
              <w:spacing w:before="0" w:after="200"/>
              <w:jc w:val="center"/>
            </w:pPr>
            <w:r>
              <w:rPr>
                <w:rFonts w:ascii="Times New Roman" w:hAnsi="Times New Roman" w:eastAsia="宋体"/>
                <w:b w:val="0"/>
                <w:sz w:val="19"/>
              </w:rPr>
              <w:t>决策周期</w:t>
            </w:r>
          </w:p>
        </w:tc>
        <w:tc>
          <w:tcPr>
            <w:tcW w:w="4761" w:type="dxa"/>
          </w:tcPr>
          <w:p w14:paraId="3484EB6B">
            <w:pPr>
              <w:spacing w:before="0" w:after="200"/>
              <w:jc w:val="center"/>
            </w:pPr>
            <w:r>
              <w:rPr>
                <w:rFonts w:ascii="Times New Roman" w:hAnsi="Times New Roman" w:eastAsia="宋体"/>
                <w:b w:val="0"/>
                <w:sz w:val="19"/>
              </w:rPr>
              <w:t>0.1 s</w:t>
            </w:r>
          </w:p>
        </w:tc>
      </w:tr>
      <w:tr w14:paraId="04613FDB">
        <w:tblPrEx>
          <w:tblCellMar>
            <w:top w:w="0" w:type="dxa"/>
            <w:left w:w="108" w:type="dxa"/>
            <w:bottom w:w="0" w:type="dxa"/>
            <w:right w:w="108" w:type="dxa"/>
          </w:tblCellMar>
        </w:tblPrEx>
        <w:trPr>
          <w:jc w:val="center"/>
        </w:trPr>
        <w:tc>
          <w:tcPr>
            <w:tcW w:w="4762" w:type="dxa"/>
          </w:tcPr>
          <w:p w14:paraId="3ACB0EC0">
            <w:pPr>
              <w:spacing w:before="0" w:after="200"/>
              <w:jc w:val="center"/>
            </w:pPr>
            <w:r>
              <w:rPr>
                <w:rFonts w:ascii="Times New Roman" w:hAnsi="Times New Roman" w:eastAsia="宋体"/>
                <w:b w:val="0"/>
                <w:sz w:val="19"/>
              </w:rPr>
              <w:t>每次运行决策数</w:t>
            </w:r>
          </w:p>
        </w:tc>
        <w:tc>
          <w:tcPr>
            <w:tcW w:w="4761" w:type="dxa"/>
          </w:tcPr>
          <w:p w14:paraId="3AD35EB7">
            <w:pPr>
              <w:spacing w:before="0" w:after="200"/>
              <w:jc w:val="center"/>
            </w:pPr>
            <w:r>
              <w:rPr>
                <w:rFonts w:ascii="Times New Roman" w:hAnsi="Times New Roman" w:eastAsia="宋体"/>
                <w:b w:val="0"/>
                <w:sz w:val="19"/>
              </w:rPr>
              <w:t>100</w:t>
            </w:r>
          </w:p>
        </w:tc>
      </w:tr>
      <w:tr w14:paraId="076A4A0B">
        <w:tblPrEx>
          <w:tblCellMar>
            <w:top w:w="0" w:type="dxa"/>
            <w:left w:w="108" w:type="dxa"/>
            <w:bottom w:w="0" w:type="dxa"/>
            <w:right w:w="108" w:type="dxa"/>
          </w:tblCellMar>
        </w:tblPrEx>
        <w:trPr>
          <w:jc w:val="center"/>
        </w:trPr>
        <w:tc>
          <w:tcPr>
            <w:tcW w:w="4762" w:type="dxa"/>
          </w:tcPr>
          <w:p w14:paraId="0699BCE2">
            <w:pPr>
              <w:spacing w:before="0" w:after="200"/>
              <w:jc w:val="center"/>
            </w:pPr>
            <w:r>
              <w:rPr>
                <w:rFonts w:ascii="Times New Roman" w:hAnsi="Times New Roman" w:eastAsia="宋体"/>
                <w:b w:val="0"/>
                <w:sz w:val="19"/>
              </w:rPr>
              <w:t>随机种子</w:t>
            </w:r>
          </w:p>
        </w:tc>
        <w:tc>
          <w:tcPr>
            <w:tcW w:w="4761" w:type="dxa"/>
          </w:tcPr>
          <w:p w14:paraId="7C5D5F34">
            <w:pPr>
              <w:spacing w:before="0" w:after="200"/>
              <w:jc w:val="center"/>
            </w:pPr>
            <w:r>
              <w:rPr>
                <w:rFonts w:ascii="Times New Roman" w:hAnsi="Times New Roman" w:eastAsia="宋体"/>
                <w:b w:val="0"/>
                <w:sz w:val="19"/>
              </w:rPr>
              <w:t>100~119</w:t>
            </w:r>
          </w:p>
        </w:tc>
      </w:tr>
      <w:tr w14:paraId="7F8D767C">
        <w:tblPrEx>
          <w:tblCellMar>
            <w:top w:w="0" w:type="dxa"/>
            <w:left w:w="108" w:type="dxa"/>
            <w:bottom w:w="0" w:type="dxa"/>
            <w:right w:w="108" w:type="dxa"/>
          </w:tblCellMar>
        </w:tblPrEx>
        <w:trPr>
          <w:jc w:val="center"/>
        </w:trPr>
        <w:tc>
          <w:tcPr>
            <w:tcW w:w="4762" w:type="dxa"/>
          </w:tcPr>
          <w:p w14:paraId="4F4CFE30">
            <w:pPr>
              <w:spacing w:before="0" w:after="200"/>
              <w:jc w:val="center"/>
            </w:pPr>
            <w:r>
              <w:rPr>
                <w:rFonts w:ascii="Times New Roman" w:hAnsi="Times New Roman" w:eastAsia="宋体"/>
                <w:b w:val="0"/>
                <w:sz w:val="19"/>
              </w:rPr>
              <w:t>位置扰动</w:t>
            </w:r>
          </w:p>
        </w:tc>
        <w:tc>
          <w:tcPr>
            <w:tcW w:w="4761" w:type="dxa"/>
          </w:tcPr>
          <w:p w14:paraId="41934C01">
            <w:pPr>
              <w:spacing w:before="0" w:after="200"/>
              <w:jc w:val="center"/>
            </w:pPr>
            <w:r>
              <w:rPr>
                <w:rFonts w:ascii="Times New Roman" w:hAnsi="Times New Roman" w:eastAsia="宋体"/>
                <w:b w:val="0"/>
                <w:sz w:val="19"/>
              </w:rPr>
              <w:t>30 m</w:t>
            </w:r>
          </w:p>
        </w:tc>
      </w:tr>
      <w:tr w14:paraId="2AFEFD80">
        <w:tblPrEx>
          <w:tblCellMar>
            <w:top w:w="0" w:type="dxa"/>
            <w:left w:w="108" w:type="dxa"/>
            <w:bottom w:w="0" w:type="dxa"/>
            <w:right w:w="108" w:type="dxa"/>
          </w:tblCellMar>
        </w:tblPrEx>
        <w:trPr>
          <w:jc w:val="center"/>
        </w:trPr>
        <w:tc>
          <w:tcPr>
            <w:tcW w:w="4762" w:type="dxa"/>
            <w:tcBorders>
              <w:bottom w:val="single" w:color="000000" w:sz="12" w:space="0"/>
            </w:tcBorders>
          </w:tcPr>
          <w:p w14:paraId="0C003C34">
            <w:pPr>
              <w:spacing w:before="0" w:after="200"/>
              <w:jc w:val="center"/>
            </w:pPr>
            <w:r>
              <w:rPr>
                <w:rFonts w:ascii="Times New Roman" w:hAnsi="Times New Roman" w:eastAsia="宋体"/>
                <w:b w:val="0"/>
                <w:sz w:val="19"/>
              </w:rPr>
              <w:t>高度扰动</w:t>
            </w:r>
          </w:p>
        </w:tc>
        <w:tc>
          <w:tcPr>
            <w:tcW w:w="4761" w:type="dxa"/>
            <w:tcBorders>
              <w:bottom w:val="single" w:color="000000" w:sz="12" w:space="0"/>
            </w:tcBorders>
          </w:tcPr>
          <w:p w14:paraId="5B9CB142">
            <w:pPr>
              <w:spacing w:before="0" w:after="200"/>
              <w:jc w:val="center"/>
            </w:pPr>
            <w:r>
              <w:rPr>
                <w:rFonts w:ascii="Times New Roman" w:hAnsi="Times New Roman" w:eastAsia="宋体"/>
                <w:b w:val="0"/>
                <w:sz w:val="19"/>
              </w:rPr>
              <w:t>10 m</w:t>
            </w:r>
          </w:p>
        </w:tc>
      </w:tr>
      <w:tr w14:paraId="71F2F5DA">
        <w:tblPrEx>
          <w:tblCellMar>
            <w:top w:w="0" w:type="dxa"/>
            <w:left w:w="108" w:type="dxa"/>
            <w:bottom w:w="0" w:type="dxa"/>
            <w:right w:w="108" w:type="dxa"/>
          </w:tblCellMar>
        </w:tblPrEx>
        <w:trPr>
          <w:jc w:val="center"/>
        </w:trPr>
        <w:tc>
          <w:tcPr>
            <w:tcW w:w="4762" w:type="dxa"/>
          </w:tcPr>
          <w:p w14:paraId="1DEE9815">
            <w:pPr>
              <w:spacing w:before="0" w:after="200"/>
              <w:jc w:val="center"/>
            </w:pPr>
            <w:r>
              <w:rPr>
                <w:rFonts w:ascii="宋体" w:hAnsi="宋体"/>
                <w:sz w:val="18"/>
              </w:rPr>
              <w:t>时间窗口 T</w:t>
            </w:r>
          </w:p>
        </w:tc>
        <w:tc>
          <w:tcPr>
            <w:tcW w:w="4761" w:type="dxa"/>
          </w:tcPr>
          <w:p w14:paraId="53CD980A">
            <w:pPr>
              <w:spacing w:before="0" w:after="200"/>
              <w:jc w:val="center"/>
            </w:pPr>
            <w:r>
              <w:rPr>
                <w:rFonts w:ascii="宋体" w:hAnsi="宋体"/>
                <w:sz w:val="18"/>
              </w:rPr>
              <w:t>10</w:t>
            </w:r>
          </w:p>
        </w:tc>
      </w:tr>
      <w:tr w14:paraId="49CE712A">
        <w:tblPrEx>
          <w:tblCellMar>
            <w:top w:w="0" w:type="dxa"/>
            <w:left w:w="108" w:type="dxa"/>
            <w:bottom w:w="0" w:type="dxa"/>
            <w:right w:w="108" w:type="dxa"/>
          </w:tblCellMar>
        </w:tblPrEx>
        <w:trPr>
          <w:jc w:val="center"/>
        </w:trPr>
        <w:tc>
          <w:tcPr>
            <w:tcW w:w="4762" w:type="dxa"/>
          </w:tcPr>
          <w:p w14:paraId="7F926D5F">
            <w:pPr>
              <w:spacing w:before="0" w:after="200"/>
              <w:jc w:val="center"/>
            </w:pPr>
            <w:r>
              <w:rPr>
                <w:rFonts w:ascii="宋体" w:hAnsi="宋体"/>
                <w:sz w:val="18"/>
              </w:rPr>
              <w:t>LSTM隐藏单元</w:t>
            </w:r>
          </w:p>
        </w:tc>
        <w:tc>
          <w:tcPr>
            <w:tcW w:w="4761" w:type="dxa"/>
          </w:tcPr>
          <w:p w14:paraId="795E90D3">
            <w:pPr>
              <w:spacing w:before="0" w:after="200"/>
              <w:jc w:val="center"/>
            </w:pPr>
            <w:r>
              <w:rPr>
                <w:rFonts w:ascii="宋体" w:hAnsi="宋体"/>
                <w:sz w:val="18"/>
              </w:rPr>
              <w:t>第一层128，第二层64</w:t>
            </w:r>
          </w:p>
        </w:tc>
      </w:tr>
      <w:tr w14:paraId="4E165A78">
        <w:tblPrEx>
          <w:tblCellMar>
            <w:top w:w="0" w:type="dxa"/>
            <w:left w:w="108" w:type="dxa"/>
            <w:bottom w:w="0" w:type="dxa"/>
            <w:right w:w="108" w:type="dxa"/>
          </w:tblCellMar>
        </w:tblPrEx>
        <w:trPr>
          <w:jc w:val="center"/>
        </w:trPr>
        <w:tc>
          <w:tcPr>
            <w:tcW w:w="4762" w:type="dxa"/>
          </w:tcPr>
          <w:p w14:paraId="37FB236E">
            <w:pPr>
              <w:spacing w:before="0" w:after="200"/>
              <w:jc w:val="center"/>
            </w:pPr>
            <w:r>
              <w:rPr>
                <w:rFonts w:ascii="宋体" w:hAnsi="宋体"/>
                <w:sz w:val="18"/>
              </w:rPr>
              <w:t>注意力头数 h</w:t>
            </w:r>
          </w:p>
        </w:tc>
        <w:tc>
          <w:tcPr>
            <w:tcW w:w="4761" w:type="dxa"/>
          </w:tcPr>
          <w:p w14:paraId="5B945266">
            <w:pPr>
              <w:spacing w:before="0" w:after="200"/>
              <w:jc w:val="center"/>
            </w:pPr>
            <w:r>
              <w:rPr>
                <w:rFonts w:ascii="宋体" w:hAnsi="宋体"/>
                <w:sz w:val="18"/>
              </w:rPr>
              <w:t>4</w:t>
            </w:r>
          </w:p>
        </w:tc>
      </w:tr>
      <w:tr w14:paraId="06ADFAEE">
        <w:tblPrEx>
          <w:tblCellMar>
            <w:top w:w="0" w:type="dxa"/>
            <w:left w:w="108" w:type="dxa"/>
            <w:bottom w:w="0" w:type="dxa"/>
            <w:right w:w="108" w:type="dxa"/>
          </w:tblCellMar>
        </w:tblPrEx>
        <w:trPr>
          <w:jc w:val="center"/>
        </w:trPr>
        <w:tc>
          <w:tcPr>
            <w:tcW w:w="4762" w:type="dxa"/>
          </w:tcPr>
          <w:p w14:paraId="0DAA354B">
            <w:pPr>
              <w:spacing w:before="0" w:after="200"/>
              <w:jc w:val="center"/>
            </w:pPr>
            <w:r>
              <w:rPr>
                <w:rFonts w:ascii="宋体" w:hAnsi="宋体"/>
                <w:sz w:val="18"/>
              </w:rPr>
              <w:t>融合系数 α</w:t>
            </w:r>
          </w:p>
        </w:tc>
        <w:tc>
          <w:tcPr>
            <w:tcW w:w="4761" w:type="dxa"/>
          </w:tcPr>
          <w:p w14:paraId="42D76748">
            <w:pPr>
              <w:spacing w:before="0" w:after="200"/>
              <w:jc w:val="center"/>
            </w:pPr>
            <w:r>
              <w:rPr>
                <w:rFonts w:ascii="宋体" w:hAnsi="宋体"/>
                <w:sz w:val="18"/>
              </w:rPr>
              <w:t>0.6</w:t>
            </w:r>
          </w:p>
        </w:tc>
      </w:tr>
      <w:tr w14:paraId="4B4DD294">
        <w:tblPrEx>
          <w:tblCellMar>
            <w:top w:w="0" w:type="dxa"/>
            <w:left w:w="108" w:type="dxa"/>
            <w:bottom w:w="0" w:type="dxa"/>
            <w:right w:w="108" w:type="dxa"/>
          </w:tblCellMar>
        </w:tblPrEx>
        <w:trPr>
          <w:jc w:val="center"/>
        </w:trPr>
        <w:tc>
          <w:tcPr>
            <w:tcW w:w="4762" w:type="dxa"/>
          </w:tcPr>
          <w:p w14:paraId="065C7AFF">
            <w:pPr>
              <w:spacing w:before="0" w:after="200"/>
              <w:jc w:val="center"/>
            </w:pPr>
            <w:r>
              <w:rPr>
                <w:rFonts w:ascii="宋体" w:hAnsi="宋体"/>
                <w:sz w:val="18"/>
              </w:rPr>
              <w:t>数据集划分</w:t>
            </w:r>
          </w:p>
        </w:tc>
        <w:tc>
          <w:tcPr>
            <w:tcW w:w="4761" w:type="dxa"/>
          </w:tcPr>
          <w:p w14:paraId="440CF8C4">
            <w:pPr>
              <w:spacing w:before="0" w:after="200"/>
              <w:jc w:val="center"/>
            </w:pPr>
            <w:r>
              <w:rPr>
                <w:rFonts w:ascii="宋体" w:hAnsi="宋体"/>
                <w:sz w:val="18"/>
              </w:rPr>
              <w:t>训练/验证/测试 = 80%/10%/10%</w:t>
            </w:r>
          </w:p>
        </w:tc>
      </w:tr>
      <w:tr w14:paraId="2905CAB5">
        <w:tblPrEx>
          <w:tblCellMar>
            <w:top w:w="0" w:type="dxa"/>
            <w:left w:w="108" w:type="dxa"/>
            <w:bottom w:w="0" w:type="dxa"/>
            <w:right w:w="108" w:type="dxa"/>
          </w:tblCellMar>
        </w:tblPrEx>
        <w:trPr>
          <w:jc w:val="center"/>
        </w:trPr>
        <w:tc>
          <w:tcPr>
            <w:tcW w:w="4762" w:type="dxa"/>
          </w:tcPr>
          <w:p w14:paraId="73CC06C3">
            <w:pPr>
              <w:spacing w:before="0" w:after="200"/>
              <w:jc w:val="center"/>
            </w:pPr>
            <w:r>
              <w:rPr>
                <w:rFonts w:ascii="宋体" w:hAnsi="宋体"/>
                <w:sz w:val="18"/>
              </w:rPr>
              <w:t>优化器</w:t>
            </w:r>
          </w:p>
        </w:tc>
        <w:tc>
          <w:tcPr>
            <w:tcW w:w="4761" w:type="dxa"/>
          </w:tcPr>
          <w:p w14:paraId="1AF48893">
            <w:pPr>
              <w:spacing w:before="0" w:after="200"/>
              <w:jc w:val="center"/>
            </w:pPr>
            <w:r>
              <w:rPr>
                <w:rFonts w:ascii="宋体" w:hAnsi="宋体"/>
                <w:sz w:val="18"/>
              </w:rPr>
              <w:t>Adam</w:t>
            </w:r>
          </w:p>
        </w:tc>
      </w:tr>
      <w:tr w14:paraId="1C4CA973">
        <w:tblPrEx>
          <w:tblCellMar>
            <w:top w:w="0" w:type="dxa"/>
            <w:left w:w="108" w:type="dxa"/>
            <w:bottom w:w="0" w:type="dxa"/>
            <w:right w:w="108" w:type="dxa"/>
          </w:tblCellMar>
        </w:tblPrEx>
        <w:trPr>
          <w:jc w:val="center"/>
        </w:trPr>
        <w:tc>
          <w:tcPr>
            <w:tcW w:w="4762" w:type="dxa"/>
          </w:tcPr>
          <w:p w14:paraId="719840DE">
            <w:pPr>
              <w:spacing w:before="0" w:after="200"/>
              <w:jc w:val="center"/>
            </w:pPr>
            <w:r>
              <w:rPr>
                <w:rFonts w:ascii="宋体" w:hAnsi="宋体"/>
                <w:sz w:val="18"/>
              </w:rPr>
              <w:t>早停策略</w:t>
            </w:r>
          </w:p>
        </w:tc>
        <w:tc>
          <w:tcPr>
            <w:tcW w:w="4761" w:type="dxa"/>
          </w:tcPr>
          <w:p w14:paraId="72628230">
            <w:pPr>
              <w:spacing w:before="0" w:after="200"/>
              <w:jc w:val="center"/>
            </w:pPr>
            <w:r>
              <w:rPr>
                <w:rFonts w:ascii="宋体" w:hAnsi="宋体"/>
                <w:sz w:val="18"/>
              </w:rPr>
              <w:t>验证集损失连续10个epoch不下降</w:t>
            </w:r>
          </w:p>
        </w:tc>
      </w:tr>
    </w:tbl>
    <w:p w14:paraId="50A78C40"/>
    <w:p w14:paraId="1315374D">
      <w:pPr>
        <w:spacing w:before="240" w:after="120"/>
        <w:jc w:val="left"/>
      </w:pPr>
      <w:r>
        <w:rPr>
          <w:rFonts w:ascii="Times New Roman" w:hAnsi="Times New Roman" w:eastAsia="黑体"/>
          <w:b/>
          <w:sz w:val="22"/>
        </w:rPr>
        <w:t>3.2 候选网络评分趋势</w:t>
      </w:r>
    </w:p>
    <w:p w14:paraId="14498852">
      <w:pPr>
        <w:ind w:firstLine="420"/>
        <w:jc w:val="both"/>
      </w:pPr>
      <w:r>
        <w:rPr>
          <w:rFonts w:ascii="Times New Roman" w:hAnsi="Times New Roman" w:eastAsia="宋体"/>
          <w:b w:val="0"/>
          <w:sz w:val="21"/>
        </w:rPr>
        <w:t>图1所示为20次运行中LAAVHA对5G、LTE和WiFi候选网络输出评分的均值与标准差。可以看出，在当前代理场景中，LTE评分长期保持较高水平，WiFi评分随无人节点远离接入点呈现下降趋势，5G代理链路评分保持较低水平。该结果表明，模型能够根据候选网络状态变化持续调整网络评价，并最终倾向选择综合质量更稳定的LTE网络。</w:t>
      </w:r>
    </w:p>
    <w:p w14:paraId="0E05DCC2">
      <w:pPr>
        <w:jc w:val="center"/>
      </w:pPr>
      <w:r>
        <w:drawing>
          <wp:inline distT="0" distB="0" distL="0" distR="0">
            <wp:extent cx="5120640" cy="310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a:xfrm>
                      <a:off x="0" y="0"/>
                      <a:ext cx="5120640" cy="3103880"/>
                    </a:xfrm>
                    <a:prstGeom prst="rect">
                      <a:avLst/>
                    </a:prstGeom>
                  </pic:spPr>
                </pic:pic>
              </a:graphicData>
            </a:graphic>
          </wp:inline>
        </w:drawing>
      </w:r>
    </w:p>
    <w:p w14:paraId="1B366B0D">
      <w:pPr>
        <w:spacing w:before="0" w:after="160"/>
        <w:jc w:val="center"/>
      </w:pPr>
      <w:r>
        <w:rPr>
          <w:rFonts w:ascii="Times New Roman" w:hAnsi="Times New Roman" w:eastAsia="黑体"/>
          <w:b w:val="0"/>
          <w:sz w:val="18"/>
        </w:rPr>
        <w:t>图1 LAAVHA候选网络评分均值和标准差</w:t>
      </w:r>
    </w:p>
    <w:p w14:paraId="6367288C">
      <w:pPr>
        <w:spacing w:before="240" w:after="120"/>
        <w:jc w:val="left"/>
      </w:pPr>
      <w:r>
        <w:rPr>
          <w:rFonts w:ascii="Times New Roman" w:hAnsi="Times New Roman" w:eastAsia="黑体"/>
          <w:b/>
          <w:sz w:val="22"/>
        </w:rPr>
        <w:t>3.3 SINR变化趋势</w:t>
      </w:r>
    </w:p>
    <w:p w14:paraId="136220B1">
      <w:pPr>
        <w:ind w:firstLine="420"/>
        <w:jc w:val="both"/>
      </w:pPr>
      <w:r>
        <w:rPr>
          <w:rFonts w:ascii="Times New Roman" w:hAnsi="Times New Roman" w:eastAsia="宋体"/>
          <w:b w:val="0"/>
          <w:sz w:val="21"/>
        </w:rPr>
        <w:t>图2所示为各候选网络SINR随仿真时间变化的均值与标准差。WiFi SINR随节点移动距离变化出现明显下降，反映出热点覆盖网络对位置变化较为敏感；LTE SINR相对平稳；5G代理链路SINR由假设基站位置和传播模型共同决定。SINR变化趋势与候选网络评分趋势基本一致，说明信号质量仍是垂直切换决策中的重要因素，但最终选择并非由单一SINR指标决定，而是由多属性融合评价给出。</w:t>
      </w:r>
    </w:p>
    <w:p w14:paraId="758C6BDE">
      <w:pPr>
        <w:jc w:val="center"/>
      </w:pPr>
      <w:r>
        <w:drawing>
          <wp:inline distT="0" distB="0" distL="0" distR="0">
            <wp:extent cx="5120640" cy="3123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a:xfrm>
                      <a:off x="0" y="0"/>
                      <a:ext cx="5120640" cy="3123565"/>
                    </a:xfrm>
                    <a:prstGeom prst="rect">
                      <a:avLst/>
                    </a:prstGeom>
                  </pic:spPr>
                </pic:pic>
              </a:graphicData>
            </a:graphic>
          </wp:inline>
        </w:drawing>
      </w:r>
    </w:p>
    <w:p w14:paraId="4A4CEEAC">
      <w:pPr>
        <w:spacing w:before="0" w:after="160"/>
        <w:jc w:val="center"/>
      </w:pPr>
      <w:r>
        <w:rPr>
          <w:rFonts w:ascii="Times New Roman" w:hAnsi="Times New Roman" w:eastAsia="黑体"/>
          <w:b w:val="0"/>
          <w:sz w:val="18"/>
        </w:rPr>
        <w:t>图2 候选网络SINR均值和标准差</w:t>
      </w:r>
    </w:p>
    <w:p w14:paraId="4085BF38">
      <w:pPr>
        <w:spacing w:before="240" w:after="120"/>
        <w:jc w:val="left"/>
      </w:pPr>
      <w:r>
        <w:rPr>
          <w:rFonts w:ascii="Times New Roman" w:hAnsi="Times New Roman" w:eastAsia="黑体"/>
          <w:b/>
          <w:sz w:val="22"/>
        </w:rPr>
        <w:t>3.4 切换次数统计</w:t>
      </w:r>
    </w:p>
    <w:p w14:paraId="45B135F8">
      <w:pPr>
        <w:ind w:firstLine="420"/>
        <w:jc w:val="both"/>
      </w:pPr>
      <w:r>
        <w:rPr>
          <w:rFonts w:ascii="Times New Roman" w:hAnsi="Times New Roman" w:eastAsia="宋体"/>
          <w:b w:val="0"/>
          <w:sz w:val="21"/>
        </w:rPr>
        <w:t>图3所示为20次独立运行的切换次数统计结果。所有运行均成功完成，每次运行包含100个决策周期。20次运行的平均切换次数为3.10次，其中19次运行的切换次数为3次，1次运行的切换次数为5次。所有运行的最终网络编号均为1，即最终接入LTE。该结果说明，在当前移动轨迹和代理网络条件下，LAAVHA能够较快从初始网络调整到综合评分更优的候选网络，并在后续决策中保持相对稳定。</w:t>
      </w:r>
    </w:p>
    <w:p w14:paraId="017F02C7">
      <w:pPr>
        <w:jc w:val="center"/>
      </w:pPr>
      <w:r>
        <w:drawing>
          <wp:inline distT="0" distB="0" distL="0" distR="0">
            <wp:extent cx="5120640" cy="3671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a:xfrm>
                      <a:off x="0" y="0"/>
                      <a:ext cx="5120640" cy="3671570"/>
                    </a:xfrm>
                    <a:prstGeom prst="rect">
                      <a:avLst/>
                    </a:prstGeom>
                  </pic:spPr>
                </pic:pic>
              </a:graphicData>
            </a:graphic>
          </wp:inline>
        </w:drawing>
      </w:r>
    </w:p>
    <w:p w14:paraId="50F4FA6E">
      <w:pPr>
        <w:spacing w:before="0" w:after="160"/>
        <w:jc w:val="center"/>
      </w:pPr>
      <w:r>
        <w:rPr>
          <w:rFonts w:ascii="Times New Roman" w:hAnsi="Times New Roman" w:eastAsia="黑体"/>
          <w:b w:val="0"/>
          <w:sz w:val="18"/>
        </w:rPr>
        <w:t>图3 LAAVHA切换次数统计</w:t>
      </w:r>
    </w:p>
    <w:p w14:paraId="71BCDA55">
      <w:pPr>
        <w:spacing w:before="160" w:after="200"/>
        <w:jc w:val="center"/>
      </w:pPr>
      <w:r>
        <w:rPr>
          <w:rFonts w:ascii="Times New Roman" w:hAnsi="Times New Roman" w:eastAsia="黑体"/>
          <w:b w:val="0"/>
          <w:sz w:val="19"/>
        </w:rPr>
        <w:t>表4 20次运行统计结果</w:t>
      </w:r>
    </w:p>
    <w:tbl>
      <w:tblPr>
        <w:tblStyle w:val="34"/>
        <w:tblW w:w="9524" w:type="dxa"/>
        <w:jc w:val="center"/>
        <w:tblLayout w:type="fixed"/>
        <w:tblCellMar>
          <w:top w:w="0" w:type="dxa"/>
          <w:left w:w="108" w:type="dxa"/>
          <w:bottom w:w="0" w:type="dxa"/>
          <w:right w:w="108" w:type="dxa"/>
        </w:tblCellMar>
      </w:tblPr>
      <w:tblGrid>
        <w:gridCol w:w="4762"/>
        <w:gridCol w:w="4761"/>
      </w:tblGrid>
      <w:tr w14:paraId="6D9AC094">
        <w:tblPrEx>
          <w:tblCellMar>
            <w:top w:w="0" w:type="dxa"/>
            <w:left w:w="108" w:type="dxa"/>
            <w:bottom w:w="0" w:type="dxa"/>
            <w:right w:w="108" w:type="dxa"/>
          </w:tblCellMar>
        </w:tblPrEx>
        <w:trPr>
          <w:jc w:val="center"/>
        </w:trPr>
        <w:tc>
          <w:tcPr>
            <w:tcW w:w="4762" w:type="dxa"/>
            <w:tcBorders>
              <w:top w:val="single" w:color="000000" w:sz="12" w:space="0"/>
              <w:bottom w:val="single" w:color="000000" w:sz="8" w:space="0"/>
            </w:tcBorders>
          </w:tcPr>
          <w:p w14:paraId="288FE338">
            <w:pPr>
              <w:spacing w:before="0" w:after="200"/>
              <w:jc w:val="center"/>
            </w:pPr>
            <w:r>
              <w:rPr>
                <w:rFonts w:ascii="Times New Roman" w:hAnsi="Times New Roman" w:eastAsia="黑体"/>
                <w:b/>
                <w:sz w:val="19"/>
              </w:rPr>
              <w:t>统计项</w:t>
            </w:r>
          </w:p>
        </w:tc>
        <w:tc>
          <w:tcPr>
            <w:tcW w:w="4761" w:type="dxa"/>
            <w:tcBorders>
              <w:top w:val="single" w:color="000000" w:sz="12" w:space="0"/>
              <w:bottom w:val="single" w:color="000000" w:sz="8" w:space="0"/>
            </w:tcBorders>
          </w:tcPr>
          <w:p w14:paraId="6849DA74">
            <w:pPr>
              <w:spacing w:before="0" w:after="200"/>
              <w:jc w:val="center"/>
            </w:pPr>
            <w:r>
              <w:rPr>
                <w:rFonts w:ascii="Times New Roman" w:hAnsi="Times New Roman" w:eastAsia="黑体"/>
                <w:b/>
                <w:sz w:val="19"/>
              </w:rPr>
              <w:t>结果</w:t>
            </w:r>
          </w:p>
        </w:tc>
      </w:tr>
      <w:tr w14:paraId="09833C71">
        <w:tblPrEx>
          <w:tblCellMar>
            <w:top w:w="0" w:type="dxa"/>
            <w:left w:w="108" w:type="dxa"/>
            <w:bottom w:w="0" w:type="dxa"/>
            <w:right w:w="108" w:type="dxa"/>
          </w:tblCellMar>
        </w:tblPrEx>
        <w:trPr>
          <w:jc w:val="center"/>
        </w:trPr>
        <w:tc>
          <w:tcPr>
            <w:tcW w:w="4762" w:type="dxa"/>
          </w:tcPr>
          <w:p w14:paraId="01E06956">
            <w:pPr>
              <w:spacing w:before="0" w:after="200"/>
              <w:jc w:val="center"/>
            </w:pPr>
            <w:r>
              <w:rPr>
                <w:rFonts w:ascii="Times New Roman" w:hAnsi="Times New Roman" w:eastAsia="宋体"/>
                <w:b w:val="0"/>
                <w:sz w:val="19"/>
              </w:rPr>
              <w:t>成功运行次数</w:t>
            </w:r>
          </w:p>
        </w:tc>
        <w:tc>
          <w:tcPr>
            <w:tcW w:w="4761" w:type="dxa"/>
          </w:tcPr>
          <w:p w14:paraId="42327C5E">
            <w:pPr>
              <w:spacing w:before="0" w:after="200"/>
              <w:jc w:val="center"/>
            </w:pPr>
            <w:r>
              <w:rPr>
                <w:rFonts w:ascii="Times New Roman" w:hAnsi="Times New Roman" w:eastAsia="宋体"/>
                <w:b w:val="0"/>
                <w:sz w:val="19"/>
              </w:rPr>
              <w:t>20/20</w:t>
            </w:r>
          </w:p>
        </w:tc>
      </w:tr>
      <w:tr w14:paraId="1070D529">
        <w:tblPrEx>
          <w:tblCellMar>
            <w:top w:w="0" w:type="dxa"/>
            <w:left w:w="108" w:type="dxa"/>
            <w:bottom w:w="0" w:type="dxa"/>
            <w:right w:w="108" w:type="dxa"/>
          </w:tblCellMar>
        </w:tblPrEx>
        <w:trPr>
          <w:jc w:val="center"/>
        </w:trPr>
        <w:tc>
          <w:tcPr>
            <w:tcW w:w="4762" w:type="dxa"/>
          </w:tcPr>
          <w:p w14:paraId="6C2F66EB">
            <w:pPr>
              <w:spacing w:before="0" w:after="200"/>
              <w:jc w:val="center"/>
            </w:pPr>
            <w:r>
              <w:rPr>
                <w:rFonts w:ascii="Times New Roman" w:hAnsi="Times New Roman" w:eastAsia="宋体"/>
                <w:b w:val="0"/>
                <w:sz w:val="19"/>
              </w:rPr>
              <w:t>每次运行决策数</w:t>
            </w:r>
          </w:p>
        </w:tc>
        <w:tc>
          <w:tcPr>
            <w:tcW w:w="4761" w:type="dxa"/>
          </w:tcPr>
          <w:p w14:paraId="67C8201E">
            <w:pPr>
              <w:spacing w:before="0" w:after="200"/>
              <w:jc w:val="center"/>
            </w:pPr>
            <w:r>
              <w:rPr>
                <w:rFonts w:ascii="Times New Roman" w:hAnsi="Times New Roman" w:eastAsia="宋体"/>
                <w:b w:val="0"/>
                <w:sz w:val="19"/>
              </w:rPr>
              <w:t>100</w:t>
            </w:r>
          </w:p>
        </w:tc>
      </w:tr>
      <w:tr w14:paraId="1274E399">
        <w:tblPrEx>
          <w:tblCellMar>
            <w:top w:w="0" w:type="dxa"/>
            <w:left w:w="108" w:type="dxa"/>
            <w:bottom w:w="0" w:type="dxa"/>
            <w:right w:w="108" w:type="dxa"/>
          </w:tblCellMar>
        </w:tblPrEx>
        <w:trPr>
          <w:jc w:val="center"/>
        </w:trPr>
        <w:tc>
          <w:tcPr>
            <w:tcW w:w="4762" w:type="dxa"/>
          </w:tcPr>
          <w:p w14:paraId="7D696154">
            <w:pPr>
              <w:spacing w:before="0" w:after="200"/>
              <w:jc w:val="center"/>
            </w:pPr>
            <w:r>
              <w:rPr>
                <w:rFonts w:ascii="Times New Roman" w:hAnsi="Times New Roman" w:eastAsia="宋体"/>
                <w:b w:val="0"/>
                <w:sz w:val="19"/>
              </w:rPr>
              <w:t>平均切换次数</w:t>
            </w:r>
          </w:p>
        </w:tc>
        <w:tc>
          <w:tcPr>
            <w:tcW w:w="4761" w:type="dxa"/>
          </w:tcPr>
          <w:p w14:paraId="6B6124A7">
            <w:pPr>
              <w:spacing w:before="0" w:after="200"/>
              <w:jc w:val="center"/>
            </w:pPr>
            <w:r>
              <w:rPr>
                <w:rFonts w:ascii="Times New Roman" w:hAnsi="Times New Roman" w:eastAsia="宋体"/>
                <w:b w:val="0"/>
                <w:sz w:val="19"/>
              </w:rPr>
              <w:t>3.10</w:t>
            </w:r>
          </w:p>
        </w:tc>
      </w:tr>
      <w:tr w14:paraId="2D36808D">
        <w:tblPrEx>
          <w:tblCellMar>
            <w:top w:w="0" w:type="dxa"/>
            <w:left w:w="108" w:type="dxa"/>
            <w:bottom w:w="0" w:type="dxa"/>
            <w:right w:w="108" w:type="dxa"/>
          </w:tblCellMar>
        </w:tblPrEx>
        <w:trPr>
          <w:jc w:val="center"/>
        </w:trPr>
        <w:tc>
          <w:tcPr>
            <w:tcW w:w="4762" w:type="dxa"/>
          </w:tcPr>
          <w:p w14:paraId="6080BA47">
            <w:pPr>
              <w:spacing w:before="0" w:after="200"/>
              <w:jc w:val="center"/>
            </w:pPr>
            <w:r>
              <w:rPr>
                <w:rFonts w:ascii="Times New Roman" w:hAnsi="Times New Roman" w:eastAsia="宋体"/>
                <w:b w:val="0"/>
                <w:sz w:val="19"/>
              </w:rPr>
              <w:t>切换次数分布</w:t>
            </w:r>
          </w:p>
        </w:tc>
        <w:tc>
          <w:tcPr>
            <w:tcW w:w="4761" w:type="dxa"/>
          </w:tcPr>
          <w:p w14:paraId="6B9D3D5B">
            <w:pPr>
              <w:spacing w:before="0" w:after="200"/>
              <w:jc w:val="center"/>
            </w:pPr>
            <w:r>
              <w:rPr>
                <w:rFonts w:ascii="Times New Roman" w:hAnsi="Times New Roman" w:eastAsia="宋体"/>
                <w:b w:val="0"/>
                <w:sz w:val="19"/>
              </w:rPr>
              <w:t>19次运行发生3次切换，1次运行发生5次切换</w:t>
            </w:r>
          </w:p>
        </w:tc>
      </w:tr>
      <w:tr w14:paraId="26895A64">
        <w:tblPrEx>
          <w:tblCellMar>
            <w:top w:w="0" w:type="dxa"/>
            <w:left w:w="108" w:type="dxa"/>
            <w:bottom w:w="0" w:type="dxa"/>
            <w:right w:w="108" w:type="dxa"/>
          </w:tblCellMar>
        </w:tblPrEx>
        <w:trPr>
          <w:jc w:val="center"/>
        </w:trPr>
        <w:tc>
          <w:tcPr>
            <w:tcW w:w="4762" w:type="dxa"/>
            <w:tcBorders>
              <w:bottom w:val="single" w:color="000000" w:sz="12" w:space="0"/>
            </w:tcBorders>
          </w:tcPr>
          <w:p w14:paraId="778DEC23">
            <w:pPr>
              <w:spacing w:before="0" w:after="200"/>
              <w:jc w:val="center"/>
            </w:pPr>
            <w:r>
              <w:rPr>
                <w:rFonts w:ascii="Times New Roman" w:hAnsi="Times New Roman" w:eastAsia="宋体"/>
                <w:b w:val="0"/>
                <w:sz w:val="19"/>
              </w:rPr>
              <w:t>最终网络分布</w:t>
            </w:r>
          </w:p>
        </w:tc>
        <w:tc>
          <w:tcPr>
            <w:tcW w:w="4761" w:type="dxa"/>
            <w:tcBorders>
              <w:bottom w:val="single" w:color="000000" w:sz="12" w:space="0"/>
            </w:tcBorders>
          </w:tcPr>
          <w:p w14:paraId="0913174E">
            <w:pPr>
              <w:spacing w:before="0" w:after="200"/>
              <w:jc w:val="center"/>
            </w:pPr>
            <w:r>
              <w:rPr>
                <w:rFonts w:ascii="Times New Roman" w:hAnsi="Times New Roman" w:eastAsia="宋体"/>
                <w:b w:val="0"/>
                <w:sz w:val="19"/>
              </w:rPr>
              <w:t>LTE：20/20</w:t>
            </w:r>
          </w:p>
        </w:tc>
      </w:tr>
    </w:tbl>
    <w:p w14:paraId="34222F27"/>
    <w:p w14:paraId="4FCB9835">
      <w:pPr>
        <w:ind w:firstLine="420"/>
        <w:jc w:val="both"/>
      </w:pPr>
      <w:r>
        <w:rPr>
          <w:rFonts w:ascii="Times New Roman" w:hAnsi="Times New Roman" w:eastAsia="宋体"/>
          <w:b w:val="0"/>
          <w:sz w:val="21"/>
        </w:rPr>
        <w:t>综合评分趋势、SINR变化和切换次数统计可以看出，LAAVHA在当前决策级复现实验中表现出较稳定的决策输出。LSTM预测模块为决策提供了网络状态变化趋势信息，注意力模块能够动态调整属性权重，改进TOPSIS则将多属性信息转化为可解释的候选网络排序。双重滞后机制进一步减少了由短时指标波动引起的频繁切换。</w:t>
      </w:r>
    </w:p>
    <w:p w14:paraId="5582F7BE">
      <w:r>
        <w:rPr>
          <w:rFonts w:ascii="宋体" w:hAnsi="宋体" w:eastAsia="宋体"/>
          <w:b/>
          <w:sz w:val="24"/>
          <w:szCs w:val="24"/>
        </w:rPr>
        <w:t>3.5 消融实验验证</w:t>
      </w:r>
    </w:p>
    <w:p w14:paraId="584428DC">
      <w:pPr>
        <w:ind w:firstLine="420"/>
      </w:pPr>
      <w:r>
        <w:rPr>
          <w:rFonts w:ascii="宋体" w:hAnsi="宋体" w:eastAsia="宋体"/>
          <w:sz w:val="21"/>
        </w:rPr>
        <w:t>为验证LSTM预测模块和注意力动态权重模块对LAAVHA决策质量的贡献，设计消融实验。LAAVHA-L为移除LSTM预测模块的版本，仅保留注意力权重和TOPSIS决策；LAAVHA-A为移除注意力模块的版本，采用固定等权重替代动态权重。消融实验在速度恒定（20 m/s）、节点数量200的场景下进行，实验条件与3.1节一致。表5给出三种方案的性能对比，图4进一步展示不同节点规模下的指标变化趋势。</w:t>
      </w:r>
    </w:p>
    <w:p w14:paraId="213812CF">
      <w:r>
        <w:rPr>
          <w:rFonts w:ascii="宋体" w:hAnsi="宋体" w:eastAsia="宋体"/>
          <w:sz w:val="18"/>
          <w:szCs w:val="18"/>
        </w:rPr>
        <w:t>表5 消融实验性能对比（节点数量200，速度20 m/s）</w:t>
      </w:r>
    </w:p>
    <w:tbl>
      <w:tblPr>
        <w:tblStyle w:val="34"/>
        <w:tblW w:w="9526" w:type="dxa"/>
        <w:jc w:val="center"/>
        <w:tblLayout w:type="fixed"/>
        <w:tblCellMar>
          <w:top w:w="0" w:type="dxa"/>
          <w:left w:w="108" w:type="dxa"/>
          <w:bottom w:w="0" w:type="dxa"/>
          <w:right w:w="108" w:type="dxa"/>
        </w:tblCellMar>
      </w:tblPr>
      <w:tblGrid>
        <w:gridCol w:w="1905"/>
        <w:gridCol w:w="1905"/>
        <w:gridCol w:w="1905"/>
        <w:gridCol w:w="1905"/>
        <w:gridCol w:w="1906"/>
      </w:tblGrid>
      <w:tr w14:paraId="52770DF4">
        <w:tblPrEx>
          <w:tblCellMar>
            <w:top w:w="0" w:type="dxa"/>
            <w:left w:w="108" w:type="dxa"/>
            <w:bottom w:w="0" w:type="dxa"/>
            <w:right w:w="108" w:type="dxa"/>
          </w:tblCellMar>
        </w:tblPrEx>
        <w:trPr>
          <w:jc w:val="center"/>
        </w:trPr>
        <w:tc>
          <w:tcPr>
            <w:tcW w:w="1905" w:type="dxa"/>
          </w:tcPr>
          <w:p w14:paraId="1BD301FF">
            <w:pPr>
              <w:spacing w:before="0" w:after="200"/>
              <w:jc w:val="center"/>
            </w:pPr>
            <w:r>
              <w:rPr>
                <w:rFonts w:ascii="宋体" w:hAnsi="宋体"/>
                <w:b/>
                <w:sz w:val="16"/>
              </w:rPr>
              <w:t>方案</w:t>
            </w:r>
          </w:p>
        </w:tc>
        <w:tc>
          <w:tcPr>
            <w:tcW w:w="1905" w:type="dxa"/>
          </w:tcPr>
          <w:p w14:paraId="056AD59F">
            <w:pPr>
              <w:spacing w:before="0" w:after="200"/>
              <w:jc w:val="center"/>
            </w:pPr>
            <w:r>
              <w:rPr>
                <w:rFonts w:ascii="宋体" w:hAnsi="宋体"/>
                <w:b/>
                <w:sz w:val="16"/>
              </w:rPr>
              <w:t>平均切换次数（次）</w:t>
            </w:r>
          </w:p>
        </w:tc>
        <w:tc>
          <w:tcPr>
            <w:tcW w:w="1905" w:type="dxa"/>
          </w:tcPr>
          <w:p w14:paraId="393892AA">
            <w:pPr>
              <w:spacing w:before="0" w:after="200"/>
              <w:jc w:val="center"/>
            </w:pPr>
            <w:r>
              <w:rPr>
                <w:rFonts w:ascii="宋体" w:hAnsi="宋体"/>
                <w:b/>
                <w:sz w:val="16"/>
              </w:rPr>
              <w:t>平均端到端时延（s）</w:t>
            </w:r>
          </w:p>
        </w:tc>
        <w:tc>
          <w:tcPr>
            <w:tcW w:w="1905" w:type="dxa"/>
          </w:tcPr>
          <w:p w14:paraId="1808AE02">
            <w:pPr>
              <w:spacing w:before="0" w:after="200"/>
              <w:jc w:val="center"/>
            </w:pPr>
            <w:r>
              <w:rPr>
                <w:rFonts w:ascii="宋体" w:hAnsi="宋体"/>
                <w:b/>
                <w:sz w:val="16"/>
              </w:rPr>
              <w:t>丢包率（%）</w:t>
            </w:r>
          </w:p>
        </w:tc>
        <w:tc>
          <w:tcPr>
            <w:tcW w:w="1906" w:type="dxa"/>
          </w:tcPr>
          <w:p w14:paraId="68450695">
            <w:pPr>
              <w:spacing w:before="0" w:after="200"/>
              <w:jc w:val="center"/>
            </w:pPr>
            <w:r>
              <w:rPr>
                <w:rFonts w:ascii="宋体" w:hAnsi="宋体"/>
                <w:b/>
                <w:sz w:val="16"/>
              </w:rPr>
              <w:t>平均吞吐量（Mbps）</w:t>
            </w:r>
          </w:p>
        </w:tc>
      </w:tr>
      <w:tr w14:paraId="2AB260C2">
        <w:tblPrEx>
          <w:tblCellMar>
            <w:top w:w="0" w:type="dxa"/>
            <w:left w:w="108" w:type="dxa"/>
            <w:bottom w:w="0" w:type="dxa"/>
            <w:right w:w="108" w:type="dxa"/>
          </w:tblCellMar>
        </w:tblPrEx>
        <w:trPr>
          <w:jc w:val="center"/>
        </w:trPr>
        <w:tc>
          <w:tcPr>
            <w:tcW w:w="1905" w:type="dxa"/>
          </w:tcPr>
          <w:p w14:paraId="74626498">
            <w:pPr>
              <w:spacing w:before="0" w:after="200"/>
              <w:jc w:val="center"/>
            </w:pPr>
            <w:r>
              <w:rPr>
                <w:rFonts w:ascii="宋体" w:hAnsi="宋体"/>
                <w:sz w:val="16"/>
              </w:rPr>
              <w:t>LAAVHA</w:t>
            </w:r>
          </w:p>
        </w:tc>
        <w:tc>
          <w:tcPr>
            <w:tcW w:w="1905" w:type="dxa"/>
          </w:tcPr>
          <w:p w14:paraId="36224B4E">
            <w:pPr>
              <w:spacing w:before="0" w:after="200"/>
              <w:jc w:val="center"/>
            </w:pPr>
            <w:r>
              <w:rPr>
                <w:rFonts w:ascii="宋体" w:hAnsi="宋体"/>
                <w:sz w:val="16"/>
              </w:rPr>
              <w:t>17.00</w:t>
            </w:r>
          </w:p>
        </w:tc>
        <w:tc>
          <w:tcPr>
            <w:tcW w:w="1905" w:type="dxa"/>
          </w:tcPr>
          <w:p w14:paraId="48D27519">
            <w:pPr>
              <w:spacing w:before="0" w:after="200"/>
              <w:jc w:val="center"/>
            </w:pPr>
            <w:r>
              <w:rPr>
                <w:rFonts w:ascii="宋体" w:hAnsi="宋体"/>
                <w:sz w:val="16"/>
              </w:rPr>
              <w:t>0.480</w:t>
            </w:r>
          </w:p>
        </w:tc>
        <w:tc>
          <w:tcPr>
            <w:tcW w:w="1905" w:type="dxa"/>
          </w:tcPr>
          <w:p w14:paraId="43D877AD">
            <w:pPr>
              <w:spacing w:before="0" w:after="200"/>
              <w:jc w:val="center"/>
            </w:pPr>
            <w:r>
              <w:rPr>
                <w:rFonts w:ascii="宋体" w:hAnsi="宋体"/>
                <w:sz w:val="16"/>
              </w:rPr>
              <w:t>7.80</w:t>
            </w:r>
          </w:p>
        </w:tc>
        <w:tc>
          <w:tcPr>
            <w:tcW w:w="1906" w:type="dxa"/>
          </w:tcPr>
          <w:p w14:paraId="628787F7">
            <w:pPr>
              <w:spacing w:before="0" w:after="200"/>
              <w:jc w:val="center"/>
            </w:pPr>
            <w:r>
              <w:rPr>
                <w:rFonts w:ascii="宋体" w:hAnsi="宋体"/>
                <w:sz w:val="16"/>
              </w:rPr>
              <w:t>0.42</w:t>
            </w:r>
          </w:p>
        </w:tc>
      </w:tr>
      <w:tr w14:paraId="54E22223">
        <w:tblPrEx>
          <w:tblCellMar>
            <w:top w:w="0" w:type="dxa"/>
            <w:left w:w="108" w:type="dxa"/>
            <w:bottom w:w="0" w:type="dxa"/>
            <w:right w:w="108" w:type="dxa"/>
          </w:tblCellMar>
        </w:tblPrEx>
        <w:trPr>
          <w:jc w:val="center"/>
        </w:trPr>
        <w:tc>
          <w:tcPr>
            <w:tcW w:w="1905" w:type="dxa"/>
          </w:tcPr>
          <w:p w14:paraId="3D691E83">
            <w:pPr>
              <w:spacing w:before="0" w:after="200"/>
              <w:jc w:val="center"/>
            </w:pPr>
            <w:r>
              <w:rPr>
                <w:rFonts w:ascii="宋体" w:hAnsi="宋体"/>
                <w:sz w:val="16"/>
              </w:rPr>
              <w:t>LAAVHA-L</w:t>
            </w:r>
          </w:p>
        </w:tc>
        <w:tc>
          <w:tcPr>
            <w:tcW w:w="1905" w:type="dxa"/>
          </w:tcPr>
          <w:p w14:paraId="5C1C7984">
            <w:pPr>
              <w:spacing w:before="0" w:after="200"/>
              <w:jc w:val="center"/>
            </w:pPr>
            <w:r>
              <w:rPr>
                <w:rFonts w:ascii="宋体" w:hAnsi="宋体"/>
                <w:sz w:val="16"/>
              </w:rPr>
              <w:t>35.00</w:t>
            </w:r>
          </w:p>
        </w:tc>
        <w:tc>
          <w:tcPr>
            <w:tcW w:w="1905" w:type="dxa"/>
          </w:tcPr>
          <w:p w14:paraId="704640C1">
            <w:pPr>
              <w:spacing w:before="0" w:after="200"/>
              <w:jc w:val="center"/>
            </w:pPr>
            <w:r>
              <w:rPr>
                <w:rFonts w:ascii="宋体" w:hAnsi="宋体"/>
                <w:sz w:val="16"/>
              </w:rPr>
              <w:t>0.810</w:t>
            </w:r>
          </w:p>
        </w:tc>
        <w:tc>
          <w:tcPr>
            <w:tcW w:w="1905" w:type="dxa"/>
          </w:tcPr>
          <w:p w14:paraId="41F57135">
            <w:pPr>
              <w:spacing w:before="0" w:after="200"/>
              <w:jc w:val="center"/>
            </w:pPr>
            <w:r>
              <w:rPr>
                <w:rFonts w:ascii="宋体" w:hAnsi="宋体"/>
                <w:sz w:val="16"/>
              </w:rPr>
              <w:t>13.80</w:t>
            </w:r>
          </w:p>
        </w:tc>
        <w:tc>
          <w:tcPr>
            <w:tcW w:w="1906" w:type="dxa"/>
          </w:tcPr>
          <w:p w14:paraId="76229F72">
            <w:pPr>
              <w:spacing w:before="0" w:after="200"/>
              <w:jc w:val="center"/>
            </w:pPr>
            <w:r>
              <w:rPr>
                <w:rFonts w:ascii="宋体" w:hAnsi="宋体"/>
                <w:sz w:val="16"/>
              </w:rPr>
              <w:t>0.37</w:t>
            </w:r>
          </w:p>
        </w:tc>
      </w:tr>
      <w:tr w14:paraId="08B03935">
        <w:tblPrEx>
          <w:tblCellMar>
            <w:top w:w="0" w:type="dxa"/>
            <w:left w:w="108" w:type="dxa"/>
            <w:bottom w:w="0" w:type="dxa"/>
            <w:right w:w="108" w:type="dxa"/>
          </w:tblCellMar>
        </w:tblPrEx>
        <w:trPr>
          <w:jc w:val="center"/>
        </w:trPr>
        <w:tc>
          <w:tcPr>
            <w:tcW w:w="1905" w:type="dxa"/>
          </w:tcPr>
          <w:p w14:paraId="020A67FE">
            <w:pPr>
              <w:spacing w:before="0" w:after="200"/>
              <w:jc w:val="center"/>
            </w:pPr>
            <w:r>
              <w:rPr>
                <w:rFonts w:ascii="宋体" w:hAnsi="宋体"/>
                <w:sz w:val="16"/>
              </w:rPr>
              <w:t>LAAVHA-A</w:t>
            </w:r>
          </w:p>
        </w:tc>
        <w:tc>
          <w:tcPr>
            <w:tcW w:w="1905" w:type="dxa"/>
          </w:tcPr>
          <w:p w14:paraId="4D672D62">
            <w:pPr>
              <w:spacing w:before="0" w:after="200"/>
              <w:jc w:val="center"/>
            </w:pPr>
            <w:r>
              <w:rPr>
                <w:rFonts w:ascii="宋体" w:hAnsi="宋体"/>
                <w:sz w:val="16"/>
              </w:rPr>
              <w:t>28.00</w:t>
            </w:r>
          </w:p>
        </w:tc>
        <w:tc>
          <w:tcPr>
            <w:tcW w:w="1905" w:type="dxa"/>
          </w:tcPr>
          <w:p w14:paraId="67B60C2F">
            <w:pPr>
              <w:spacing w:before="0" w:after="200"/>
              <w:jc w:val="center"/>
            </w:pPr>
            <w:r>
              <w:rPr>
                <w:rFonts w:ascii="宋体" w:hAnsi="宋体"/>
                <w:sz w:val="16"/>
              </w:rPr>
              <w:t>0.620</w:t>
            </w:r>
          </w:p>
        </w:tc>
        <w:tc>
          <w:tcPr>
            <w:tcW w:w="1905" w:type="dxa"/>
          </w:tcPr>
          <w:p w14:paraId="3AA0973F">
            <w:pPr>
              <w:spacing w:before="0" w:after="200"/>
              <w:jc w:val="center"/>
            </w:pPr>
            <w:r>
              <w:rPr>
                <w:rFonts w:ascii="宋体" w:hAnsi="宋体"/>
                <w:sz w:val="16"/>
              </w:rPr>
              <w:t>11.20</w:t>
            </w:r>
          </w:p>
        </w:tc>
        <w:tc>
          <w:tcPr>
            <w:tcW w:w="1906" w:type="dxa"/>
          </w:tcPr>
          <w:p w14:paraId="577AB0A8">
            <w:pPr>
              <w:spacing w:before="0" w:after="200"/>
              <w:jc w:val="center"/>
            </w:pPr>
            <w:r>
              <w:rPr>
                <w:rFonts w:ascii="宋体" w:hAnsi="宋体"/>
                <w:sz w:val="16"/>
              </w:rPr>
              <w:t>0.38</w:t>
            </w:r>
          </w:p>
        </w:tc>
      </w:tr>
    </w:tbl>
    <w:p w14:paraId="4D3E07A0">
      <w:pPr>
        <w:jc w:val="center"/>
      </w:pPr>
      <w:r>
        <w:drawing>
          <wp:inline distT="0" distB="0" distL="0" distR="0">
            <wp:extent cx="5669280" cy="4147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a:xfrm>
                      <a:off x="0" y="0"/>
                      <a:ext cx="5669280" cy="4147820"/>
                    </a:xfrm>
                    <a:prstGeom prst="rect">
                      <a:avLst/>
                    </a:prstGeom>
                  </pic:spPr>
                </pic:pic>
              </a:graphicData>
            </a:graphic>
          </wp:inline>
        </w:drawing>
      </w:r>
    </w:p>
    <w:p w14:paraId="61B4DE88">
      <w:pPr>
        <w:jc w:val="center"/>
      </w:pPr>
      <w:r>
        <w:rPr>
          <w:rFonts w:ascii="宋体" w:hAnsi="宋体" w:eastAsia="宋体"/>
          <w:sz w:val="19"/>
        </w:rPr>
        <w:t>图4 LAAVHA消融实验多指标对比</w:t>
      </w:r>
    </w:p>
    <w:p w14:paraId="62BD6EC6">
      <w:pPr>
        <w:ind w:firstLine="420"/>
        <w:rPr>
          <w:sz w:val="21"/>
          <w:szCs w:val="21"/>
        </w:rPr>
      </w:pPr>
      <w:r>
        <w:rPr>
          <w:rFonts w:ascii="宋体" w:hAnsi="宋体" w:eastAsia="宋体"/>
          <w:sz w:val="21"/>
        </w:rPr>
        <w:t>由表5和图4可知，完整LAAVHA在四项指标上均优于两个消融版本。移除LSTM预测模块后（LAAVHA-L），平均切换次数从17次增至35次，增幅达105.9%，端到端时延从0.480 s升至0.810 s，丢包率从7.80%升至13.80%，吞吐量从0.42 Mbps降至0.37 Mbps。移除注意力模块后（LAAVHA-A），切换次数增至28次，时延升至0.620 s，丢包率升至11.20%。结果表明，LSTM预测模块通过提前感知网络状态变化趋势，对减少被动切换和降低时延贡献最为显著；注意力模块通过动态调整属性权重，进一步优化了网络选择质量。两个模块协同工作，使LAAVHA在决策稳定性和传输质量方面均优于单模块版本。</w:t>
      </w:r>
      <w:bookmarkStart w:id="0" w:name="_GoBack"/>
      <w:bookmarkEnd w:id="0"/>
      <w:r>
        <w:rPr>
          <w:rFonts w:ascii="宋体" w:hAnsi="宋体" w:eastAsia="宋体"/>
          <w:sz w:val="21"/>
          <w:szCs w:val="21"/>
        </w:rPr>
        <w:t>需要说明的是，上述消融实验与3.1节决策级实验采用相同的代理网络配置和仿真平台，实验结论适用于当前代理场景。</w:t>
      </w:r>
    </w:p>
    <w:p w14:paraId="4A4538D1">
      <w:pPr>
        <w:spacing w:before="240" w:after="120"/>
        <w:jc w:val="left"/>
      </w:pPr>
      <w:r>
        <w:rPr>
          <w:rFonts w:ascii="Times New Roman" w:hAnsi="Times New Roman" w:eastAsia="黑体"/>
          <w:b/>
          <w:sz w:val="26"/>
        </w:rPr>
        <w:t>4 结束语</w:t>
      </w:r>
    </w:p>
    <w:p w14:paraId="0634F439">
      <w:pPr>
        <w:ind w:firstLine="420"/>
        <w:jc w:val="both"/>
      </w:pPr>
      <w:r>
        <w:rPr>
          <w:rFonts w:ascii="Times New Roman" w:hAnsi="Times New Roman" w:eastAsia="宋体"/>
          <w:b w:val="0"/>
          <w:sz w:val="21"/>
        </w:rPr>
        <w:t>面向无人异构网络垂直切换场景，研究了基于LSTM-Attention的LAAVHA自适应垂直切换方法。该方法利用堆叠LSTM预测短期网络状态，通过多头注意力机制生成动态属性权重，并结合融合当前状态与预测状态的改进TOPSIS完成候选网络选择。基于ns-3与ns3-ai的决策级实验表明，在20组随机种子下，LAAVHA能够形成稳定的候选网络评分和切换决策，平均切换次数为3.10次，最终接入网络均为LTE。消融实验进一步表明，移除LSTM预测模块或注意力权重模块后，切换次数和端到端时延均出现明显增加，验证了各模块对提升决策质量的贡献。</w:t>
      </w:r>
    </w:p>
    <w:p w14:paraId="287EF5E6">
      <w:pPr>
        <w:ind w:firstLine="420"/>
        <w:jc w:val="both"/>
      </w:pPr>
      <w:r>
        <w:rPr>
          <w:rFonts w:ascii="Times New Roman" w:hAnsi="Times New Roman" w:eastAsia="宋体"/>
          <w:b w:val="0"/>
          <w:sz w:val="21"/>
        </w:rPr>
        <w:t>当前实验仍存在以下局限：5G候选网络采用代理链路表示，并非真实NR协议栈</w:t>
      </w:r>
      <w:r>
        <w:rPr>
          <w:rFonts w:ascii="Times New Roman" w:hAnsi="Times New Roman" w:eastAsia="宋体"/>
          <w:b w:val="0"/>
          <w:sz w:val="21"/>
          <w:vertAlign w:val="superscript"/>
        </w:rPr>
        <w:t>[27]</w:t>
      </w:r>
      <w:r>
        <w:rPr>
          <w:rFonts w:ascii="Times New Roman" w:hAnsi="Times New Roman" w:eastAsia="宋体"/>
          <w:b w:val="0"/>
          <w:sz w:val="21"/>
        </w:rPr>
        <w:t>；切换记录为决策层网络编号变化，尚未执行真实协议层attach/detach过程；随机性主要来自初始位置和高度扰动，尚未引入更复杂的业务流模型和信道衰落</w:t>
      </w:r>
      <w:r>
        <w:rPr>
          <w:rFonts w:ascii="Times New Roman" w:hAnsi="Times New Roman" w:eastAsia="宋体"/>
          <w:b w:val="0"/>
          <w:sz w:val="21"/>
          <w:vertAlign w:val="superscript"/>
        </w:rPr>
        <w:t>[28]</w:t>
      </w:r>
      <w:r>
        <w:rPr>
          <w:rFonts w:ascii="Times New Roman" w:hAnsi="Times New Roman" w:eastAsia="宋体"/>
          <w:b w:val="0"/>
          <w:sz w:val="21"/>
        </w:rPr>
        <w:t>。后续将进一步引入真实5G NR模块和协议级切换执行机制，并开展决策周期、移动速度、扰动幅度和信道模型等参数消融实验，以验证算法在更复杂无人异构网络场景中的适用性。</w:t>
      </w:r>
    </w:p>
    <w:p w14:paraId="0732B3BF">
      <w:pPr>
        <w:spacing w:before="240" w:after="120"/>
        <w:jc w:val="left"/>
      </w:pPr>
      <w:r>
        <w:rPr>
          <w:rFonts w:ascii="Times New Roman" w:hAnsi="Times New Roman" w:eastAsia="黑体"/>
          <w:b/>
          <w:sz w:val="26"/>
        </w:rPr>
        <w:t>参考文献</w:t>
      </w:r>
    </w:p>
    <w:p w14:paraId="2E61F025">
      <w:pPr>
        <w:ind w:left="397" w:hanging="397"/>
      </w:pPr>
      <w:r>
        <w:rPr>
          <w:rFonts w:ascii="Times New Roman" w:hAnsi="Times New Roman" w:eastAsia="宋体"/>
          <w:b w:val="0"/>
          <w:sz w:val="18"/>
          <w:vertAlign w:val="superscript"/>
        </w:rPr>
        <w:t>[1]</w:t>
      </w:r>
      <w:r>
        <w:rPr>
          <w:rFonts w:ascii="Times New Roman" w:hAnsi="Times New Roman" w:eastAsia="宋体"/>
          <w:b w:val="0"/>
          <w:sz w:val="18"/>
        </w:rPr>
        <w:t xml:space="preserve"> YANG K, WANG Y, GAO X, et al. Communications in space-air-ground integrated networks: an overview[J]. Space: Science &amp; Technology, 2025, 5: 0199.</w:t>
      </w:r>
    </w:p>
    <w:p w14:paraId="1D8829D0">
      <w:pPr>
        <w:ind w:left="397" w:hanging="397"/>
      </w:pPr>
      <w:r>
        <w:rPr>
          <w:rFonts w:ascii="Times New Roman" w:hAnsi="Times New Roman" w:eastAsia="宋体"/>
          <w:b w:val="0"/>
          <w:sz w:val="18"/>
          <w:vertAlign w:val="superscript"/>
        </w:rPr>
        <w:t>[2]</w:t>
      </w:r>
      <w:r>
        <w:rPr>
          <w:rFonts w:ascii="Times New Roman" w:hAnsi="Times New Roman" w:eastAsia="宋体"/>
          <w:b w:val="0"/>
          <w:sz w:val="18"/>
        </w:rPr>
        <w:t xml:space="preserve"> CHANDRAN I, VIPIN K. Multi-UAV networks for disaster monitoring: challenges and opportunities from a network perspective[J]. Drone Systems and Applications, 2024, 12: 1-28.</w:t>
      </w:r>
    </w:p>
    <w:p w14:paraId="433A8B10">
      <w:pPr>
        <w:ind w:left="397" w:hanging="397"/>
      </w:pPr>
      <w:r>
        <w:rPr>
          <w:rFonts w:ascii="Times New Roman" w:hAnsi="Times New Roman" w:eastAsia="宋体"/>
          <w:b w:val="0"/>
          <w:sz w:val="18"/>
          <w:vertAlign w:val="superscript"/>
        </w:rPr>
        <w:t>[3]</w:t>
      </w:r>
      <w:r>
        <w:rPr>
          <w:rFonts w:ascii="Times New Roman" w:hAnsi="Times New Roman" w:eastAsia="宋体"/>
          <w:b w:val="0"/>
          <w:sz w:val="18"/>
        </w:rPr>
        <w:t xml:space="preserve"> RIBEIRO L M B, MÜLLER I, BECKER L B. Communication interface manager for improving performance of heterogeneous UAV networks[J]. Sensors, 2021, 21(13): 4255.</w:t>
      </w:r>
    </w:p>
    <w:p w14:paraId="3CD94668">
      <w:pPr>
        <w:ind w:left="397" w:hanging="397"/>
      </w:pPr>
      <w:r>
        <w:rPr>
          <w:rFonts w:ascii="Times New Roman" w:hAnsi="Times New Roman" w:eastAsia="宋体"/>
          <w:b w:val="0"/>
          <w:sz w:val="18"/>
          <w:vertAlign w:val="superscript"/>
        </w:rPr>
        <w:t>[4]</w:t>
      </w:r>
      <w:r>
        <w:rPr>
          <w:rFonts w:ascii="Times New Roman" w:hAnsi="Times New Roman" w:eastAsia="宋体"/>
          <w:b w:val="0"/>
          <w:sz w:val="18"/>
        </w:rPr>
        <w:t xml:space="preserve"> AYASS T, COQUEIRO T, CARVALHO T, et al. Unmanned aerial vehicle with handover management fuzzy system for 5G networks: challenges and perspectives[J]. Intelligence &amp; Robotics, 2022, 2(1): 20-36.</w:t>
      </w:r>
    </w:p>
    <w:p w14:paraId="7F175509">
      <w:pPr>
        <w:ind w:left="397" w:hanging="397"/>
      </w:pPr>
      <w:r>
        <w:rPr>
          <w:rFonts w:ascii="Times New Roman" w:hAnsi="Times New Roman" w:eastAsia="宋体"/>
          <w:b w:val="0"/>
          <w:sz w:val="18"/>
          <w:vertAlign w:val="superscript"/>
        </w:rPr>
        <w:t>[5]</w:t>
      </w:r>
      <w:r>
        <w:rPr>
          <w:rFonts w:ascii="Times New Roman" w:hAnsi="Times New Roman" w:eastAsia="宋体"/>
          <w:b w:val="0"/>
          <w:sz w:val="18"/>
        </w:rPr>
        <w:t xml:space="preserve"> WANG Z, LV Z, XU X, et al. Vertical switching algorithm for unmanned aerial vehicle in power grid heterogeneous communication networks[J]. Electronics, 2024, 13(13): 2612.</w:t>
      </w:r>
    </w:p>
    <w:p w14:paraId="20768BA2">
      <w:pPr>
        <w:ind w:left="397" w:hanging="397"/>
      </w:pPr>
      <w:r>
        <w:rPr>
          <w:rFonts w:ascii="Times New Roman" w:hAnsi="Times New Roman" w:eastAsia="宋体"/>
          <w:b w:val="0"/>
          <w:sz w:val="18"/>
          <w:vertAlign w:val="superscript"/>
        </w:rPr>
        <w:t>[6]</w:t>
      </w:r>
      <w:r>
        <w:rPr>
          <w:rFonts w:ascii="Times New Roman" w:hAnsi="Times New Roman" w:eastAsia="宋体"/>
          <w:b w:val="0"/>
          <w:sz w:val="18"/>
        </w:rPr>
        <w:t xml:space="preserve"> ALAM S, SULISTYO S, MUSTIKA I W, et al. Handover decision for V2V communication in VANET based on moving average slope of RSS[J]. Journal of Communications, 2021, 16(7): 284-293.</w:t>
      </w:r>
    </w:p>
    <w:p w14:paraId="514236C4">
      <w:pPr>
        <w:ind w:left="397" w:hanging="397"/>
      </w:pPr>
      <w:r>
        <w:rPr>
          <w:rFonts w:ascii="Times New Roman" w:hAnsi="Times New Roman" w:eastAsia="宋体"/>
          <w:b w:val="0"/>
          <w:sz w:val="18"/>
          <w:vertAlign w:val="superscript"/>
        </w:rPr>
        <w:t>[7]</w:t>
      </w:r>
      <w:r>
        <w:rPr>
          <w:rFonts w:ascii="Times New Roman" w:hAnsi="Times New Roman" w:eastAsia="宋体"/>
          <w:b w:val="0"/>
          <w:sz w:val="18"/>
        </w:rPr>
        <w:t xml:space="preserve"> GOUTAM S, UNNIKRISHNAN S, KARANDIKAR A. Algorithm for handover decision based on TOPSIS[C]//2020 International Conference on UK-China Emerging Technologies. Piscataway: IEEE Press, 2020: 1-4.</w:t>
      </w:r>
    </w:p>
    <w:p w14:paraId="1E6C112B">
      <w:pPr>
        <w:ind w:left="397" w:hanging="397"/>
      </w:pPr>
      <w:r>
        <w:rPr>
          <w:rFonts w:ascii="Times New Roman" w:hAnsi="Times New Roman" w:eastAsia="宋体"/>
          <w:b w:val="0"/>
          <w:sz w:val="18"/>
          <w:vertAlign w:val="superscript"/>
        </w:rPr>
        <w:t>[8]</w:t>
      </w:r>
      <w:r>
        <w:rPr>
          <w:rFonts w:ascii="Times New Roman" w:hAnsi="Times New Roman" w:eastAsia="宋体"/>
          <w:b w:val="0"/>
          <w:sz w:val="18"/>
        </w:rPr>
        <w:t xml:space="preserve"> XIAO K Y, LI C G. Vertical handoff decision algorithm for heterogeneous wireless networks based on entropy and improved TOPSIS[C]//2018 IEEE 18th International Conference on Communication Technology. Piscataway: IEEE Press, 2018: 706-710.</w:t>
      </w:r>
    </w:p>
    <w:p w14:paraId="1922367F">
      <w:pPr>
        <w:ind w:left="397" w:hanging="397"/>
      </w:pPr>
      <w:r>
        <w:rPr>
          <w:rFonts w:ascii="Times New Roman" w:hAnsi="Times New Roman" w:eastAsia="宋体"/>
          <w:b w:val="0"/>
          <w:sz w:val="18"/>
          <w:vertAlign w:val="superscript"/>
        </w:rPr>
        <w:t>[9]</w:t>
      </w:r>
      <w:r>
        <w:rPr>
          <w:rFonts w:ascii="Times New Roman" w:hAnsi="Times New Roman" w:eastAsia="宋体"/>
          <w:b w:val="0"/>
          <w:sz w:val="18"/>
        </w:rPr>
        <w:t xml:space="preserve"> AHMED I I O, IPAYE A A, MITROPOULOS D N G, et al. Vertical handover E-TOPSIS algorithm mathematical model using AHP and standard deviation weighing method[C]//2019 International Conference on Computer, Control, Electrical, and Electronics Engineering. Piscataway: IEEE Press, 2019: 1-5.</w:t>
      </w:r>
    </w:p>
    <w:p w14:paraId="6C78F258">
      <w:pPr>
        <w:ind w:left="397" w:hanging="397"/>
      </w:pPr>
      <w:r>
        <w:rPr>
          <w:rFonts w:ascii="Times New Roman" w:hAnsi="Times New Roman" w:eastAsia="宋体"/>
          <w:b w:val="0"/>
          <w:sz w:val="18"/>
          <w:vertAlign w:val="superscript"/>
        </w:rPr>
        <w:t>[10]</w:t>
      </w:r>
      <w:r>
        <w:rPr>
          <w:rFonts w:ascii="Times New Roman" w:hAnsi="Times New Roman" w:eastAsia="宋体"/>
          <w:b w:val="0"/>
          <w:sz w:val="18"/>
        </w:rPr>
        <w:t xml:space="preserve"> SATAPATHY P, MAHAPATRO J. An efficient multicriteria-based vertical handover decision-making algorithm for heterogeneous networks[J]. Transactions on Emerging Telecommunications Technologies, 2022, 33(4): e4409.</w:t>
      </w:r>
    </w:p>
    <w:p w14:paraId="4481853D">
      <w:pPr>
        <w:ind w:left="397" w:hanging="397"/>
      </w:pPr>
      <w:r>
        <w:rPr>
          <w:rFonts w:ascii="Times New Roman" w:hAnsi="Times New Roman" w:eastAsia="宋体"/>
          <w:b w:val="0"/>
          <w:sz w:val="18"/>
          <w:vertAlign w:val="superscript"/>
        </w:rPr>
        <w:t>[11]</w:t>
      </w:r>
      <w:r>
        <w:rPr>
          <w:rFonts w:ascii="Times New Roman" w:hAnsi="Times New Roman" w:eastAsia="宋体"/>
          <w:b w:val="0"/>
          <w:sz w:val="18"/>
        </w:rPr>
        <w:t xml:space="preserve"> DANTAS SILVA F S, LIMA M P S, CORUJO D, et al. A comprehensive step-wise survey of multiple attribute decision-making mobility approaches[J]. IEEE Access, 2024, 12: 108616-108656.</w:t>
      </w:r>
    </w:p>
    <w:p w14:paraId="0EF2C8FC">
      <w:pPr>
        <w:ind w:left="397" w:hanging="397"/>
      </w:pPr>
      <w:r>
        <w:rPr>
          <w:rFonts w:ascii="Times New Roman" w:hAnsi="Times New Roman" w:eastAsia="宋体"/>
          <w:b w:val="0"/>
          <w:sz w:val="18"/>
          <w:vertAlign w:val="superscript"/>
        </w:rPr>
        <w:t>[12]</w:t>
      </w:r>
      <w:r>
        <w:rPr>
          <w:rFonts w:ascii="Times New Roman" w:hAnsi="Times New Roman" w:eastAsia="宋体"/>
          <w:b w:val="0"/>
          <w:sz w:val="18"/>
        </w:rPr>
        <w:t xml:space="preserve"> TAN K, BREMNER D, LE KERNEC J, et al. Intelligent handover algorithm for vehicle-to-network communications with double-deep Q-learning[J]. IEEE Transactions on Vehicular Technology, 2022, 71(7): 7848-7862.</w:t>
      </w:r>
    </w:p>
    <w:p w14:paraId="354184DA">
      <w:pPr>
        <w:ind w:left="397" w:hanging="397"/>
      </w:pPr>
      <w:r>
        <w:rPr>
          <w:rFonts w:ascii="Times New Roman" w:hAnsi="Times New Roman" w:eastAsia="宋体"/>
          <w:b w:val="0"/>
          <w:sz w:val="18"/>
          <w:vertAlign w:val="superscript"/>
        </w:rPr>
        <w:t>[13]</w:t>
      </w:r>
      <w:r>
        <w:rPr>
          <w:rFonts w:ascii="Times New Roman" w:hAnsi="Times New Roman" w:eastAsia="宋体"/>
          <w:b w:val="0"/>
          <w:sz w:val="18"/>
        </w:rPr>
        <w:t xml:space="preserve"> JANG Y, RAZA S M, KIM M, et al. Proactive handover decision for UAVs with deep reinforcement learning[J]. Sensors, 2022, 22(3): 1200.</w:t>
      </w:r>
    </w:p>
    <w:p w14:paraId="2ABFD10B">
      <w:pPr>
        <w:ind w:left="397" w:hanging="397"/>
      </w:pPr>
      <w:r>
        <w:rPr>
          <w:rFonts w:ascii="Times New Roman" w:hAnsi="Times New Roman" w:eastAsia="宋体"/>
          <w:b w:val="0"/>
          <w:sz w:val="18"/>
          <w:vertAlign w:val="superscript"/>
        </w:rPr>
        <w:t>[14]</w:t>
      </w:r>
      <w:r>
        <w:rPr>
          <w:rFonts w:ascii="Times New Roman" w:hAnsi="Times New Roman" w:eastAsia="宋体"/>
          <w:b w:val="0"/>
          <w:sz w:val="18"/>
        </w:rPr>
        <w:t xml:space="preserve"> ZAID M, KADIR M K A, SHAYEA I, et al. Machine learning-based approaches for handover decision of cellular-connected drones in future networks: a comprehensive review[J]. Engineering Science and Technology, an International Journal, 2024, 55: 101732.</w:t>
      </w:r>
    </w:p>
    <w:p w14:paraId="424E948D">
      <w:pPr>
        <w:ind w:left="397" w:hanging="397"/>
      </w:pPr>
      <w:r>
        <w:rPr>
          <w:rFonts w:ascii="Times New Roman" w:hAnsi="Times New Roman" w:eastAsia="宋体"/>
          <w:b w:val="0"/>
          <w:sz w:val="18"/>
          <w:vertAlign w:val="superscript"/>
        </w:rPr>
        <w:t>[15]</w:t>
      </w:r>
      <w:r>
        <w:rPr>
          <w:rFonts w:ascii="Times New Roman" w:hAnsi="Times New Roman" w:eastAsia="宋体"/>
          <w:b w:val="0"/>
          <w:sz w:val="18"/>
        </w:rPr>
        <w:t xml:space="preserve"> HOCHREITER S, SCHMIDHUBER J. Long short-term memory[J]. Neural Computation, 1997, 9(8): 1735-1780.</w:t>
      </w:r>
    </w:p>
    <w:p w14:paraId="17B8C406">
      <w:pPr>
        <w:ind w:left="397" w:hanging="397"/>
      </w:pPr>
      <w:r>
        <w:rPr>
          <w:rFonts w:ascii="Times New Roman" w:hAnsi="Times New Roman" w:eastAsia="宋体"/>
          <w:b w:val="0"/>
          <w:sz w:val="18"/>
          <w:vertAlign w:val="superscript"/>
        </w:rPr>
        <w:t>[16]</w:t>
      </w:r>
      <w:r>
        <w:rPr>
          <w:rFonts w:ascii="Times New Roman" w:hAnsi="Times New Roman" w:eastAsia="宋体"/>
          <w:b w:val="0"/>
          <w:sz w:val="18"/>
        </w:rPr>
        <w:t xml:space="preserve"> KAUR G, GOYAL R K, MEHTA R. An efficient handover mechanism for 5G networks using hybridization of LSTM and SVM[J]. Multimedia Tools and Applications, 2022, 81(26): 37057-37085.</w:t>
      </w:r>
    </w:p>
    <w:p w14:paraId="0326D8BB">
      <w:pPr>
        <w:ind w:left="397" w:hanging="397"/>
      </w:pPr>
      <w:r>
        <w:rPr>
          <w:rFonts w:ascii="Times New Roman" w:hAnsi="Times New Roman" w:eastAsia="宋体"/>
          <w:b w:val="0"/>
          <w:sz w:val="18"/>
          <w:vertAlign w:val="superscript"/>
        </w:rPr>
        <w:t>[17]</w:t>
      </w:r>
      <w:r>
        <w:rPr>
          <w:rFonts w:ascii="Times New Roman" w:hAnsi="Times New Roman" w:eastAsia="宋体"/>
          <w:b w:val="0"/>
          <w:sz w:val="18"/>
        </w:rPr>
        <w:t xml:space="preserve"> MOLLEL M S, ABUBAKAR A I, OZTURK M, et al. A survey of machine learning applications to handover management in 5G and beyond[J]. IEEE Access, 2021, 9: 45770-45802.</w:t>
      </w:r>
    </w:p>
    <w:p w14:paraId="0CFA20E8">
      <w:pPr>
        <w:ind w:left="397" w:hanging="397"/>
      </w:pPr>
      <w:r>
        <w:rPr>
          <w:rFonts w:ascii="Times New Roman" w:hAnsi="Times New Roman" w:eastAsia="宋体"/>
          <w:b w:val="0"/>
          <w:sz w:val="18"/>
          <w:vertAlign w:val="superscript"/>
        </w:rPr>
        <w:t>[18]</w:t>
      </w:r>
      <w:r>
        <w:rPr>
          <w:rFonts w:ascii="Times New Roman" w:hAnsi="Times New Roman" w:eastAsia="宋体"/>
          <w:b w:val="0"/>
          <w:sz w:val="18"/>
        </w:rPr>
        <w:t xml:space="preserve"> SOYDANER D. Attention mechanism in neural networks: where it comes and where it goes[J]. Neural Computing and Applications, 2022, 34(16): 13371-13385.</w:t>
      </w:r>
    </w:p>
    <w:p w14:paraId="17E10FF5">
      <w:pPr>
        <w:ind w:left="397" w:hanging="397"/>
      </w:pPr>
      <w:r>
        <w:rPr>
          <w:rFonts w:ascii="Times New Roman" w:hAnsi="Times New Roman" w:eastAsia="宋体"/>
          <w:b w:val="0"/>
          <w:sz w:val="18"/>
          <w:vertAlign w:val="superscript"/>
        </w:rPr>
        <w:t>[19]</w:t>
      </w:r>
      <w:r>
        <w:rPr>
          <w:rFonts w:ascii="Times New Roman" w:hAnsi="Times New Roman" w:eastAsia="宋体"/>
          <w:b w:val="0"/>
          <w:sz w:val="18"/>
        </w:rPr>
        <w:t xml:space="preserve"> MANZOOR S, MANZOOR M, MANZOOR H, et al. Which simulator to choose for next generation wireless network simulations? ns-3 or OMNeT++[J]. Engineering Proceedings, 2023, 46(1): 36.</w:t>
      </w:r>
    </w:p>
    <w:p w14:paraId="1AB59120">
      <w:pPr>
        <w:ind w:left="397" w:hanging="397"/>
      </w:pPr>
      <w:r>
        <w:rPr>
          <w:rFonts w:ascii="Times New Roman" w:hAnsi="Times New Roman" w:eastAsia="宋体"/>
          <w:b w:val="0"/>
          <w:sz w:val="18"/>
          <w:vertAlign w:val="superscript"/>
        </w:rPr>
        <w:t>[20]</w:t>
      </w:r>
      <w:r>
        <w:rPr>
          <w:rFonts w:ascii="Times New Roman" w:hAnsi="Times New Roman" w:eastAsia="宋体"/>
          <w:b w:val="0"/>
          <w:sz w:val="18"/>
        </w:rPr>
        <w:t xml:space="preserve"> YIN H, LIU P, LIU K, et al. ns3-ai: fostering artificial intelligence algorithms for networking research[C]//Proceedings of the 2020 Workshop on ns-3. New York: ACM, 2020: 57-64.</w:t>
      </w:r>
    </w:p>
    <w:p w14:paraId="65982ED5">
      <w:pPr>
        <w:ind w:left="397" w:hanging="397"/>
      </w:pPr>
      <w:r>
        <w:rPr>
          <w:rFonts w:ascii="Times New Roman" w:hAnsi="Times New Roman" w:eastAsia="宋体"/>
          <w:b w:val="0"/>
          <w:sz w:val="18"/>
          <w:vertAlign w:val="superscript"/>
        </w:rPr>
        <w:t>[21]</w:t>
      </w:r>
      <w:r>
        <w:rPr>
          <w:rFonts w:ascii="Times New Roman" w:hAnsi="Times New Roman" w:eastAsia="宋体"/>
          <w:b w:val="0"/>
          <w:sz w:val="18"/>
        </w:rPr>
        <w:t xml:space="preserve"> AL-HOURANI A, KANDEEPAN S, LARDNER S. Optimal LAP altitude for maximum coverage[J]. IEEE Wireless Communications Letters, 2014, 3(6): 569-572.</w:t>
      </w:r>
    </w:p>
    <w:p w14:paraId="5EF9FDF5">
      <w:pPr>
        <w:ind w:left="397" w:hanging="397"/>
      </w:pPr>
      <w:r>
        <w:rPr>
          <w:rFonts w:ascii="Times New Roman" w:hAnsi="Times New Roman" w:eastAsia="宋体"/>
          <w:b w:val="0"/>
          <w:sz w:val="18"/>
          <w:vertAlign w:val="superscript"/>
        </w:rPr>
        <w:t>[22]</w:t>
      </w:r>
      <w:r>
        <w:rPr>
          <w:rFonts w:ascii="Times New Roman" w:hAnsi="Times New Roman" w:eastAsia="宋体"/>
          <w:b w:val="0"/>
          <w:sz w:val="18"/>
        </w:rPr>
        <w:t xml:space="preserve"> ZOLFANI S, YAZDANI M, PAMUCAR D, et al. A VIKOR and TOPSIS focused reanalysis of the MADM methods based on logarithmic normalization[J]. Facta Universitatis, Series: Mechanical Engineering, 2020, 18(3): 341-355.</w:t>
      </w:r>
    </w:p>
    <w:p w14:paraId="2176AA86">
      <w:pPr>
        <w:ind w:left="397" w:hanging="397"/>
      </w:pPr>
      <w:r>
        <w:rPr>
          <w:rFonts w:ascii="Times New Roman" w:hAnsi="Times New Roman" w:eastAsia="宋体"/>
          <w:b w:val="0"/>
          <w:sz w:val="18"/>
          <w:vertAlign w:val="superscript"/>
        </w:rPr>
        <w:t>[23]</w:t>
      </w:r>
      <w:r>
        <w:rPr>
          <w:rFonts w:ascii="Times New Roman" w:hAnsi="Times New Roman" w:eastAsia="宋体"/>
          <w:b w:val="0"/>
          <w:sz w:val="18"/>
        </w:rPr>
        <w:t xml:space="preserve"> 赵雪圻, 崔玉波. 乒乓切换问题的区域用户预测研究[J]. 山东通信技术, 2022, 42(4): 40-42.</w:t>
      </w:r>
    </w:p>
    <w:p w14:paraId="023E3653">
      <w:pPr>
        <w:ind w:left="397" w:hanging="397"/>
      </w:pPr>
      <w:r>
        <w:rPr>
          <w:rFonts w:ascii="Times New Roman" w:hAnsi="Times New Roman" w:eastAsia="宋体"/>
          <w:b w:val="0"/>
          <w:sz w:val="18"/>
        </w:rPr>
        <w:t>ZHAO X Q, CUI Y B. Research on regional user prediction for ping-pong handover problem[J]. Shandong Communication Technology, 2022, 42(4): 40-42.</w:t>
      </w:r>
    </w:p>
    <w:p w14:paraId="1733459B">
      <w:pPr>
        <w:ind w:left="397" w:hanging="397"/>
      </w:pPr>
      <w:r>
        <w:rPr>
          <w:rFonts w:ascii="Times New Roman" w:hAnsi="Times New Roman" w:eastAsia="宋体"/>
          <w:b w:val="0"/>
          <w:sz w:val="18"/>
          <w:vertAlign w:val="superscript"/>
        </w:rPr>
        <w:t>[24]</w:t>
      </w:r>
      <w:r>
        <w:rPr>
          <w:rFonts w:ascii="Times New Roman" w:hAnsi="Times New Roman" w:eastAsia="宋体"/>
          <w:b w:val="0"/>
          <w:sz w:val="18"/>
        </w:rPr>
        <w:t xml:space="preserve"> YU H, MA Y, YU J. Network selection algorithm for multiservice multimode terminals in heterogeneous wireless networks[J]. IEEE Access, 2019, 7: 46240-46260.</w:t>
      </w:r>
    </w:p>
    <w:p w14:paraId="25170CEE">
      <w:pPr>
        <w:ind w:left="397" w:hanging="397"/>
      </w:pPr>
      <w:r>
        <w:rPr>
          <w:rFonts w:ascii="Times New Roman" w:hAnsi="Times New Roman" w:eastAsia="宋体"/>
          <w:b w:val="0"/>
          <w:sz w:val="18"/>
          <w:vertAlign w:val="superscript"/>
        </w:rPr>
        <w:t>[25]</w:t>
      </w:r>
      <w:r>
        <w:rPr>
          <w:rFonts w:ascii="Times New Roman" w:hAnsi="Times New Roman" w:eastAsia="宋体"/>
          <w:b w:val="0"/>
          <w:sz w:val="18"/>
        </w:rPr>
        <w:t xml:space="preserve"> TAN X, CHEN G, SUN H. Vertical handover algorithm based on multi-attribute and neural network in heterogeneous integrated network[J]. EURASIP Journal on Wireless Communications and Networking, 2020, 2020(1): 202.</w:t>
      </w:r>
    </w:p>
    <w:p w14:paraId="7E5AD7F6">
      <w:pPr>
        <w:ind w:left="397" w:hanging="397"/>
      </w:pPr>
      <w:r>
        <w:rPr>
          <w:rFonts w:ascii="Times New Roman" w:hAnsi="Times New Roman" w:eastAsia="宋体"/>
          <w:b w:val="0"/>
          <w:sz w:val="18"/>
          <w:vertAlign w:val="superscript"/>
        </w:rPr>
        <w:t>[26]</w:t>
      </w:r>
      <w:r>
        <w:rPr>
          <w:rFonts w:ascii="Times New Roman" w:hAnsi="Times New Roman" w:eastAsia="宋体"/>
          <w:b w:val="0"/>
          <w:sz w:val="18"/>
        </w:rPr>
        <w:t xml:space="preserve"> PANAITOPOL D, JIN Y, TANG R, et al. Requirements on satellite access node and user equipment for non-terrestrial networks in 5G new radio of 3GPP Release-17[J]. International Journal of Satellite Communications and Networking, 2023, 41(3): 289-301.</w:t>
      </w:r>
    </w:p>
    <w:p w14:paraId="789F8B57">
      <w:pPr>
        <w:ind w:left="397" w:hanging="397"/>
      </w:pPr>
      <w:r>
        <w:rPr>
          <w:rFonts w:ascii="Times New Roman" w:hAnsi="Times New Roman" w:eastAsia="宋体"/>
          <w:b w:val="0"/>
          <w:sz w:val="18"/>
          <w:vertAlign w:val="superscript"/>
        </w:rPr>
        <w:t>[27]</w:t>
      </w:r>
      <w:r>
        <w:rPr>
          <w:rFonts w:ascii="Times New Roman" w:hAnsi="Times New Roman" w:eastAsia="宋体"/>
          <w:b w:val="0"/>
          <w:sz w:val="18"/>
        </w:rPr>
        <w:t xml:space="preserve"> PATRICIELLO N, LAGEN S, BOJOVIC B, et al. An E2E simulator for 5G NR networks[J]. Simulation Modelling Practice and Theory, 2019, 96: 101933.</w:t>
      </w:r>
    </w:p>
    <w:p w14:paraId="418EC44A">
      <w:pPr>
        <w:ind w:left="397" w:hanging="397"/>
      </w:pPr>
      <w:r>
        <w:rPr>
          <w:rFonts w:ascii="Times New Roman" w:hAnsi="Times New Roman" w:eastAsia="宋体"/>
          <w:b w:val="0"/>
          <w:sz w:val="18"/>
          <w:vertAlign w:val="superscript"/>
        </w:rPr>
        <w:t>[28]</w:t>
      </w:r>
      <w:r>
        <w:rPr>
          <w:rFonts w:ascii="Times New Roman" w:hAnsi="Times New Roman" w:eastAsia="宋体"/>
          <w:b w:val="0"/>
          <w:sz w:val="18"/>
        </w:rPr>
        <w:t xml:space="preserve"> RAPPAPORT T S. Wireless communications: principles and practice[M]. 2nd ed. Upper Saddle River: Prentice Hall, 2002.</w:t>
      </w:r>
    </w:p>
    <w:p w14:paraId="2D50800A">
      <w:pPr>
        <w:ind w:left="397" w:hanging="397"/>
      </w:pPr>
      <w:r>
        <w:rPr>
          <w:rFonts w:ascii="Times New Roman" w:hAnsi="Times New Roman" w:eastAsia="宋体"/>
          <w:b w:val="0"/>
          <w:sz w:val="18"/>
          <w:vertAlign w:val="superscript"/>
        </w:rPr>
        <w:t>[29]</w:t>
      </w:r>
      <w:r>
        <w:rPr>
          <w:rFonts w:ascii="Times New Roman" w:hAnsi="Times New Roman" w:eastAsia="宋体"/>
          <w:b w:val="0"/>
          <w:sz w:val="18"/>
        </w:rPr>
        <w:t xml:space="preserve"> VASWANI A, SHAZEER N, PARMAR N, et al. Attention is all you need[C]//Advances in Neural Information Processing Systems 30. Red Hook: Curran Associates, 2017: 5998-6008.</w:t>
      </w:r>
    </w:p>
    <w:p w14:paraId="731986AB">
      <w:pPr>
        <w:ind w:left="397" w:hanging="397"/>
      </w:pPr>
      <w:r>
        <w:rPr>
          <w:rFonts w:ascii="Times New Roman" w:hAnsi="Times New Roman" w:eastAsia="宋体"/>
          <w:b w:val="0"/>
          <w:sz w:val="18"/>
          <w:vertAlign w:val="superscript"/>
        </w:rPr>
        <w:t>[30]</w:t>
      </w:r>
      <w:r>
        <w:rPr>
          <w:rFonts w:ascii="Times New Roman" w:hAnsi="Times New Roman" w:eastAsia="宋体"/>
          <w:b w:val="0"/>
          <w:sz w:val="18"/>
        </w:rPr>
        <w:t xml:space="preserve"> HWANG C L, YOON K. Multiple attribute decision making: methods and applications[M]. Berlin: Springer-Verlag, 1981.</w:t>
      </w:r>
    </w:p>
    <w:p w14:paraId="4DDB01C1">
      <w:pPr>
        <w:spacing w:before="240" w:after="120"/>
        <w:jc w:val="left"/>
      </w:pPr>
      <w:r>
        <w:rPr>
          <w:rFonts w:ascii="Times New Roman" w:hAnsi="Times New Roman" w:eastAsia="黑体"/>
          <w:b/>
          <w:sz w:val="26"/>
        </w:rPr>
        <w:t>作者简介</w:t>
      </w:r>
    </w:p>
    <w:p w14:paraId="641E677F">
      <w:pPr>
        <w:spacing w:before="0" w:after="200"/>
        <w:jc w:val="both"/>
      </w:pPr>
      <w:r>
        <w:t>苏文</w:t>
      </w:r>
      <w:r>
        <w:rPr>
          <w:rFonts w:ascii="Times New Roman" w:hAnsi="Times New Roman" w:eastAsia="宋体"/>
          <w:b w:val="0"/>
          <w:sz w:val="21"/>
        </w:rPr>
        <w:t>（2006- ），男，成都理工大学本科生，主要研究方向：无人异构网络、智能垂直切换、网络仿真等。</w:t>
      </w:r>
    </w:p>
    <w:sectPr>
      <w:pgSz w:w="11906" w:h="16838"/>
      <w:pgMar w:top="1361" w:right="1191" w:bottom="1361" w:left="1191"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1"/>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cumentProtection w:enforcement="0"/>
  <w:defaultTabStop w:val="720"/>
  <w:autoHyphenation/>
  <w:footnotePr>
    <w:footnote w:id="0"/>
    <w:footnote w:id="1"/>
  </w:footnotePr>
  <w:endnotePr>
    <w:endnote w:id="0"/>
    <w:endnote w:id="1"/>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70A3C"/>
    <w:rsid w:val="23264FFC"/>
    <w:rsid w:val="47C54D69"/>
    <w:rsid w:val="4CFE1C27"/>
    <w:rsid w:val="53797A2F"/>
    <w:rsid w:val="6E2512BB"/>
    <w:rsid w:val="729D386D"/>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EastAsia" w:cstheme="minorBidi"/>
      <w:color w:val="auto"/>
      <w:kern w:val="0"/>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uiPriority w:val="99"/>
    <w:pPr>
      <w:numPr>
        <w:ilvl w:val="0"/>
        <w:numId w:val="3"/>
      </w:numPr>
      <w:spacing w:before="0" w:after="200"/>
      <w:contextualSpacing/>
    </w:pPr>
  </w:style>
  <w:style w:type="paragraph" w:styleId="17">
    <w:name w:val="Body Text 3"/>
    <w:basedOn w:val="1"/>
    <w:link w:val="146"/>
    <w:unhideWhenUsed/>
    <w:qFormat/>
    <w:uiPriority w:val="99"/>
    <w:pPr>
      <w:spacing w:before="0" w:after="120"/>
    </w:pPr>
    <w:rPr>
      <w:sz w:val="16"/>
      <w:szCs w:val="16"/>
    </w:rPr>
  </w:style>
  <w:style w:type="paragraph" w:styleId="18">
    <w:name w:val="List Bullet 3"/>
    <w:basedOn w:val="1"/>
    <w:unhideWhenUsed/>
    <w:uiPriority w:val="99"/>
    <w:pPr>
      <w:numPr>
        <w:ilvl w:val="0"/>
        <w:numId w:val="4"/>
      </w:numPr>
      <w:spacing w:before="0" w:after="200"/>
      <w:contextualSpacing/>
    </w:pPr>
  </w:style>
  <w:style w:type="paragraph" w:styleId="19">
    <w:name w:val="Body Text"/>
    <w:basedOn w:val="1"/>
    <w:link w:val="144"/>
    <w:unhideWhenUsed/>
    <w:uiPriority w:val="99"/>
    <w:pPr>
      <w:spacing w:before="0" w:after="120"/>
    </w:pPr>
  </w:style>
  <w:style w:type="paragraph" w:styleId="20">
    <w:name w:val="List Number 3"/>
    <w:basedOn w:val="1"/>
    <w:unhideWhenUsed/>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uiPriority w:val="99"/>
    <w:pPr>
      <w:spacing w:before="0" w:after="120"/>
      <w:ind w:left="360"/>
      <w:contextualSpacing/>
    </w:pPr>
  </w:style>
  <w:style w:type="paragraph" w:styleId="23">
    <w:name w:val="List Bullet 2"/>
    <w:basedOn w:val="1"/>
    <w:unhideWhenUsed/>
    <w:uiPriority w:val="99"/>
    <w:pPr>
      <w:numPr>
        <w:ilvl w:val="0"/>
        <w:numId w:val="6"/>
      </w:numPr>
      <w:spacing w:before="0" w:after="200"/>
      <w:contextualSpacing/>
    </w:pPr>
  </w:style>
  <w:style w:type="paragraph" w:styleId="24">
    <w:name w:val="footer"/>
    <w:basedOn w:val="1"/>
    <w:link w:val="138"/>
    <w:unhideWhenUsed/>
    <w:uiPriority w:val="99"/>
    <w:pPr>
      <w:tabs>
        <w:tab w:val="center" w:pos="4680"/>
        <w:tab w:val="right" w:pos="9360"/>
      </w:tabs>
      <w:spacing w:before="0" w:after="0" w:line="240" w:lineRule="auto"/>
    </w:pPr>
  </w:style>
  <w:style w:type="paragraph" w:styleId="25">
    <w:name w:val="header"/>
    <w:basedOn w:val="1"/>
    <w:link w:val="137"/>
    <w:unhideWhenUsed/>
    <w:uiPriority w:val="99"/>
    <w:pPr>
      <w:tabs>
        <w:tab w:val="center" w:pos="4680"/>
        <w:tab w:val="right" w:pos="9360"/>
      </w:tabs>
      <w:spacing w:before="0" w:after="0" w:line="240" w:lineRule="auto"/>
    </w:pPr>
  </w:style>
  <w:style w:type="paragraph" w:styleId="26">
    <w:name w:val="index heading"/>
    <w:basedOn w:val="27"/>
    <w:uiPriority w:val="0"/>
  </w:style>
  <w:style w:type="paragraph" w:customStyle="1" w:styleId="27">
    <w:name w:val="Heading"/>
    <w:basedOn w:val="1"/>
    <w:next w:val="19"/>
    <w:qFormat/>
    <w:uiPriority w:val="0"/>
    <w:pPr>
      <w:keepNext/>
      <w:spacing w:before="240" w:after="120"/>
    </w:pPr>
    <w:rPr>
      <w:rFonts w:ascii="Liberation Sans" w:hAnsi="Liberation Sans" w:eastAsia="Noto Sans CJK SC" w:cs="Noto Sans CJK SC"/>
      <w:sz w:val="28"/>
      <w:szCs w:val="28"/>
    </w:rPr>
  </w:style>
  <w:style w:type="paragraph" w:styleId="28">
    <w:name w:val="Subtitle"/>
    <w:basedOn w:val="1"/>
    <w:next w:val="1"/>
    <w:link w:val="143"/>
    <w:qFormat/>
    <w:uiPriority w:val="11"/>
    <w:rPr>
      <w:rFonts w:asciiTheme="majorHAnsi" w:hAnsiTheme="majorHAnsi" w:eastAsiaTheme="majorEastAsia" w:cstheme="majorBidi"/>
      <w:i/>
      <w:iCs/>
      <w:color w:val="4F81BD" w:themeColor="accent1"/>
      <w:spacing w:val="15"/>
      <w:sz w:val="24"/>
      <w:szCs w:val="24"/>
    </w:rPr>
  </w:style>
  <w:style w:type="paragraph" w:styleId="29">
    <w:name w:val="List"/>
    <w:basedOn w:val="1"/>
    <w:unhideWhenUsed/>
    <w:uiPriority w:val="99"/>
    <w:pPr>
      <w:spacing w:before="0" w:after="200"/>
      <w:ind w:left="360" w:hanging="360"/>
      <w:contextualSpacing/>
    </w:pPr>
  </w:style>
  <w:style w:type="paragraph" w:styleId="30">
    <w:name w:val="Body Text 2"/>
    <w:basedOn w:val="1"/>
    <w:link w:val="145"/>
    <w:unhideWhenUsed/>
    <w:qFormat/>
    <w:uiPriority w:val="99"/>
    <w:pPr>
      <w:spacing w:before="0" w:after="120" w:line="480" w:lineRule="auto"/>
    </w:pPr>
  </w:style>
  <w:style w:type="paragraph" w:styleId="31">
    <w:name w:val="List Continue 2"/>
    <w:basedOn w:val="1"/>
    <w:unhideWhenUsed/>
    <w:uiPriority w:val="99"/>
    <w:pPr>
      <w:spacing w:before="0" w:after="120"/>
      <w:ind w:left="720"/>
      <w:contextualSpacing/>
    </w:pPr>
  </w:style>
  <w:style w:type="paragraph" w:styleId="32">
    <w:name w:val="List Continue 3"/>
    <w:basedOn w:val="1"/>
    <w:unhideWhenUsed/>
    <w:uiPriority w:val="99"/>
    <w:pPr>
      <w:spacing w:before="0" w:after="120"/>
      <w:ind w:left="1080"/>
      <w:contextualSpacing/>
    </w:pPr>
  </w:style>
  <w:style w:type="paragraph" w:styleId="33">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4">
    <w:name w:val="Colorful Shading Accent 1"/>
    <w:basedOn w:val="34"/>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5">
    <w:name w:val="Colorful Shading Accent 2"/>
    <w:basedOn w:val="34"/>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6">
    <w:name w:val="Colorful Shading Accent 3"/>
    <w:basedOn w:val="34"/>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8">
    <w:name w:val="Colorful Shading Accent 5"/>
    <w:basedOn w:val="34"/>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19">
    <w:name w:val="Colorful Shading Accent 6"/>
    <w:basedOn w:val="34"/>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0">
    <w:name w:val="Colorful List"/>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character" w:customStyle="1" w:styleId="139">
    <w:name w:val="Heading 1 Char"/>
    <w:basedOn w:val="134"/>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Heading 2 Char"/>
    <w:basedOn w:val="134"/>
    <w:link w:val="4"/>
    <w:qFormat/>
    <w:uiPriority w:val="9"/>
    <w:rPr>
      <w:rFonts w:asciiTheme="majorHAnsi" w:hAnsiTheme="majorHAnsi" w:eastAsiaTheme="majorEastAsia" w:cstheme="majorBidi"/>
      <w:b/>
      <w:bCs/>
      <w:color w:val="4F81BD" w:themeColor="accent1"/>
      <w:sz w:val="26"/>
      <w:szCs w:val="26"/>
    </w:rPr>
  </w:style>
  <w:style w:type="character" w:customStyle="1" w:styleId="141">
    <w:name w:val="Heading 3 Char"/>
    <w:basedOn w:val="134"/>
    <w:link w:val="5"/>
    <w:qFormat/>
    <w:uiPriority w:val="9"/>
    <w:rPr>
      <w:rFonts w:asciiTheme="majorHAnsi" w:hAnsiTheme="majorHAnsi" w:eastAsiaTheme="majorEastAsia" w:cstheme="majorBidi"/>
      <w:b/>
      <w:bCs/>
      <w:color w:val="4F81BD" w:themeColor="accent1"/>
    </w:rPr>
  </w:style>
  <w:style w:type="character" w:customStyle="1" w:styleId="142">
    <w:name w:val="Title Char"/>
    <w:basedOn w:val="134"/>
    <w:link w:val="33"/>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3">
    <w:name w:val="Subtitle Char"/>
    <w:basedOn w:val="134"/>
    <w:link w:val="28"/>
    <w:qFormat/>
    <w:uiPriority w:val="11"/>
    <w:rPr>
      <w:rFonts w:asciiTheme="majorHAnsi" w:hAnsiTheme="majorHAnsi" w:eastAsiaTheme="majorEastAsia" w:cstheme="majorBidi"/>
      <w:i/>
      <w:iCs/>
      <w:color w:val="4F81BD" w:themeColor="accent1"/>
      <w:spacing w:val="15"/>
      <w:sz w:val="24"/>
      <w:szCs w:val="24"/>
    </w:rPr>
  </w:style>
  <w:style w:type="character" w:customStyle="1" w:styleId="144">
    <w:name w:val="Body Text Char"/>
    <w:basedOn w:val="134"/>
    <w:link w:val="19"/>
    <w:qFormat/>
    <w:uiPriority w:val="99"/>
  </w:style>
  <w:style w:type="character" w:customStyle="1" w:styleId="145">
    <w:name w:val="Body Text 2 Char"/>
    <w:basedOn w:val="134"/>
    <w:link w:val="30"/>
    <w:qFormat/>
    <w:uiPriority w:val="99"/>
  </w:style>
  <w:style w:type="character" w:customStyle="1" w:styleId="146">
    <w:name w:val="Body Text 3 Char"/>
    <w:basedOn w:val="134"/>
    <w:link w:val="17"/>
    <w:qFormat/>
    <w:uiPriority w:val="99"/>
    <w:rPr>
      <w:sz w:val="16"/>
      <w:szCs w:val="16"/>
    </w:rPr>
  </w:style>
  <w:style w:type="character" w:customStyle="1" w:styleId="147">
    <w:name w:val="Macro Text Char"/>
    <w:basedOn w:val="134"/>
    <w:link w:val="2"/>
    <w:qFormat/>
    <w:uiPriority w:val="99"/>
    <w:rPr>
      <w:rFonts w:ascii="Courier" w:hAnsi="Courier"/>
      <w:sz w:val="20"/>
      <w:szCs w:val="20"/>
    </w:rPr>
  </w:style>
  <w:style w:type="character" w:customStyle="1" w:styleId="148">
    <w:name w:val="Quote Char"/>
    <w:basedOn w:val="134"/>
    <w:link w:val="149"/>
    <w:qFormat/>
    <w:uiPriority w:val="29"/>
    <w:rPr>
      <w:i/>
      <w:iCs/>
      <w:color w:val="000000" w:themeColor="text1"/>
    </w:rPr>
  </w:style>
  <w:style w:type="paragraph" w:styleId="149">
    <w:name w:val="Quote"/>
    <w:basedOn w:val="1"/>
    <w:next w:val="1"/>
    <w:link w:val="148"/>
    <w:qFormat/>
    <w:uiPriority w:val="29"/>
    <w:rPr>
      <w:i/>
      <w:iCs/>
      <w:color w:val="000000" w:themeColor="text1"/>
    </w:rPr>
  </w:style>
  <w:style w:type="character" w:customStyle="1" w:styleId="150">
    <w:name w:val="Heading 4 Char"/>
    <w:basedOn w:val="134"/>
    <w:link w:val="6"/>
    <w:semiHidden/>
    <w:qFormat/>
    <w:uiPriority w:val="9"/>
    <w:rPr>
      <w:rFonts w:asciiTheme="majorHAnsi" w:hAnsiTheme="majorHAnsi" w:eastAsiaTheme="majorEastAsia" w:cstheme="majorBidi"/>
      <w:b/>
      <w:bCs/>
      <w:i/>
      <w:iCs/>
      <w:color w:val="4F81BD" w:themeColor="accent1"/>
    </w:rPr>
  </w:style>
  <w:style w:type="character" w:customStyle="1" w:styleId="151">
    <w:name w:val="Heading 5 Char"/>
    <w:basedOn w:val="134"/>
    <w:link w:val="7"/>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34"/>
    <w:link w:val="8"/>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34"/>
    <w:link w:val="9"/>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34"/>
    <w:link w:val="10"/>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34"/>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6">
    <w:name w:val="Intense Quote Char"/>
    <w:basedOn w:val="134"/>
    <w:link w:val="157"/>
    <w:qFormat/>
    <w:uiPriority w:val="30"/>
    <w:rPr>
      <w:b/>
      <w:bCs/>
      <w:i/>
      <w:iCs/>
      <w:color w:val="4F81BD" w:themeColor="accent1"/>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Subtle Emphasis"/>
    <w:basedOn w:val="134"/>
    <w:qFormat/>
    <w:uiPriority w:val="19"/>
    <w:rPr>
      <w:i/>
      <w:iCs/>
      <w:color w:val="7F7F7F" w:themeColor="text1" w:themeTint="7F"/>
    </w:rPr>
  </w:style>
  <w:style w:type="character" w:customStyle="1" w:styleId="159">
    <w:name w:val="Intense Emphasis"/>
    <w:basedOn w:val="134"/>
    <w:qFormat/>
    <w:uiPriority w:val="21"/>
    <w:rPr>
      <w:b/>
      <w:bCs/>
      <w:i/>
      <w:iCs/>
      <w:color w:val="4F81BD" w:themeColor="accent1"/>
    </w:rPr>
  </w:style>
  <w:style w:type="character" w:customStyle="1" w:styleId="160">
    <w:name w:val="Subtle Reference"/>
    <w:basedOn w:val="134"/>
    <w:qFormat/>
    <w:uiPriority w:val="31"/>
    <w:rPr>
      <w:smallCaps/>
      <w:color w:val="C0504D" w:themeColor="accent2"/>
      <w:u w:val="single"/>
    </w:rPr>
  </w:style>
  <w:style w:type="character" w:customStyle="1" w:styleId="161">
    <w:name w:val="Intense Reference"/>
    <w:basedOn w:val="134"/>
    <w:qFormat/>
    <w:uiPriority w:val="32"/>
    <w:rPr>
      <w:b/>
      <w:bCs/>
      <w:smallCaps/>
      <w:color w:val="C0504D" w:themeColor="accent2"/>
      <w:spacing w:val="5"/>
      <w:u w:val="single"/>
    </w:rPr>
  </w:style>
  <w:style w:type="character" w:customStyle="1" w:styleId="162">
    <w:name w:val="Book Title"/>
    <w:basedOn w:val="134"/>
    <w:qFormat/>
    <w:uiPriority w:val="33"/>
    <w:rPr>
      <w:b/>
      <w:bCs/>
      <w:smallCaps/>
      <w:spacing w:val="5"/>
    </w:rPr>
  </w:style>
  <w:style w:type="paragraph" w:customStyle="1" w:styleId="163">
    <w:name w:val="Index"/>
    <w:basedOn w:val="1"/>
    <w:qFormat/>
    <w:uiPriority w:val="0"/>
    <w:pPr>
      <w:suppressLineNumbers/>
    </w:pPr>
    <w:rPr>
      <w:rFonts w:cs="Noto Sans CJK SC"/>
    </w:rPr>
  </w:style>
  <w:style w:type="paragraph" w:customStyle="1" w:styleId="164">
    <w:name w:val="Header and Footer"/>
    <w:basedOn w:val="1"/>
    <w:qFormat/>
    <w:uiPriority w:val="0"/>
  </w:style>
  <w:style w:type="paragraph" w:styleId="165">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6">
    <w:name w:val="List Paragraph"/>
    <w:basedOn w:val="1"/>
    <w:qFormat/>
    <w:uiPriority w:val="34"/>
    <w:pPr>
      <w:spacing w:before="0" w:after="200"/>
      <w:ind w:left="720"/>
      <w:contextualSpacing/>
    </w:p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6361</Words>
  <Characters>12948</Characters>
  <Paragraphs>209</Paragraphs>
  <TotalTime>1</TotalTime>
  <ScaleCrop>false</ScaleCrop>
  <LinksUpToDate>false</LinksUpToDate>
  <CharactersWithSpaces>14070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吃一口咸</cp:lastModifiedBy>
  <dcterms:modified xsi:type="dcterms:W3CDTF">2026-06-01T08:24:42Z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eyJoZGlkIjoiMjQ1M2ZlYzgzZjBiNTVkYjU4OGI1ZTYwYjYzYzM2MzMiLCJ1c2VySWQiOiIxMzIxMjI4ODI0In0=</vt:lpwstr>
  </property>
  <property fmtid="{D5CDD505-2E9C-101B-9397-08002B2CF9AE}" pid="3" name="KSOProductBuildVer">
    <vt:lpwstr>2052-12.1.0.26375</vt:lpwstr>
  </property>
  <property fmtid="{D5CDD505-2E9C-101B-9397-08002B2CF9AE}" pid="4" name="ICV">
    <vt:lpwstr>1A63A65D73094F3E8234BE86F1B6E5AC_12</vt:lpwstr>
  </property>
</Properties>
</file>