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 / LAAVHA-enhanced</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pStyle w:val="Normal"/>
        <w:spacing w:before="240" w:after="120"/>
        <w:jc w:val="left"/>
        <w:rPr/>
      </w:pPr>
      <w:r>
        <w:rPr>
          <w:rFonts w:eastAsia="黑体" w:ascii="Times New Roman" w:hAnsi="Times New Roman"/>
          <w:b/>
          <w:sz w:val="22"/>
        </w:rPr>
        <w:t xml:space="preserve">3.5 </w:t>
      </w:r>
      <w:r>
        <w:rPr>
          <w:rFonts w:ascii="Times New Roman" w:hAnsi="Times New Roman" w:eastAsia="黑体"/>
          <w:b/>
          <w:sz w:val="22"/>
        </w:rPr>
        <w:t>自适应滞后与风险敏感决策机制</w:t>
      </w:r>
    </w:p>
    <w:p>
      <w:pPr>
        <w:pStyle w:val="Normal"/>
        <w:ind w:firstLine="420"/>
        <w:jc w:val="both"/>
        <w:rPr/>
      </w:pPr>
      <w:r>
        <w:rPr>
          <w:rFonts w:ascii="Times New Roman" w:hAnsi="Times New Roman" w:eastAsia="宋体"/>
          <w:b w:val="false"/>
          <w:sz w:val="21"/>
        </w:rPr>
        <w:t>第</w:t>
      </w:r>
      <w:r>
        <w:rPr>
          <w:rFonts w:eastAsia="宋体" w:ascii="Times New Roman" w:hAnsi="Times New Roman"/>
          <w:b w:val="false"/>
          <w:sz w:val="21"/>
        </w:rPr>
        <w:t>3.2~3.4</w:t>
      </w:r>
      <w:r>
        <w:rPr>
          <w:rFonts w:ascii="Times New Roman" w:hAnsi="Times New Roman" w:eastAsia="宋体"/>
          <w:b w:val="false"/>
          <w:sz w:val="21"/>
        </w:rPr>
        <w:t>节的实验表明，</w:t>
      </w:r>
      <w:r>
        <w:rPr>
          <w:rFonts w:eastAsia="宋体" w:ascii="Times New Roman" w:hAnsi="Times New Roman"/>
          <w:b w:val="false"/>
          <w:sz w:val="21"/>
        </w:rPr>
        <w:t>LAAVHA</w:t>
      </w:r>
      <w:r>
        <w:rPr>
          <w:rFonts w:ascii="Times New Roman" w:hAnsi="Times New Roman" w:eastAsia="宋体"/>
          <w:b w:val="false"/>
          <w:sz w:val="21"/>
        </w:rPr>
        <w:t>的原生双重滞后机制（</w:t>
      </w:r>
      <w:r>
        <w:rPr>
          <w:rFonts w:eastAsia="宋体" w:ascii="Times New Roman" w:hAnsi="Times New Roman"/>
          <w:b w:val="false"/>
          <w:sz w:val="21"/>
        </w:rPr>
        <w:t>Delta_th=0.05, T=3</w:t>
      </w:r>
      <w:r>
        <w:rPr>
          <w:rFonts w:ascii="Times New Roman" w:hAnsi="Times New Roman" w:eastAsia="宋体"/>
          <w:b w:val="false"/>
          <w:sz w:val="21"/>
        </w:rPr>
        <w:t>）在代理网络场景下能够有效抑制全部乒乓切换。然而，固定参数的滞后机制缺乏对场景变化的适应能力——当网络波动加剧时，过低的阈值和时间窗口可能导致模型对瞬时信道异常做出不必要的切换响应；当飞行速度显著变化时，固定窗口可能无法及时响应真实的网络退化。此外，原始</w:t>
      </w:r>
      <w:r>
        <w:rPr>
          <w:rFonts w:eastAsia="宋体" w:ascii="Times New Roman" w:hAnsi="Times New Roman"/>
          <w:b w:val="false"/>
          <w:sz w:val="21"/>
        </w:rPr>
        <w:t>TOPSIS</w:t>
      </w:r>
      <w:r>
        <w:rPr>
          <w:rFonts w:ascii="Times New Roman" w:hAnsi="Times New Roman" w:eastAsia="宋体"/>
          <w:b w:val="false"/>
          <w:sz w:val="21"/>
        </w:rPr>
        <w:t>排序仅考虑候选网络的期望贴近度，未对评分序列的波动性进行风险建模——在贴近度接近（如</w:t>
      </w:r>
      <w:r>
        <w:rPr>
          <w:rFonts w:eastAsia="宋体" w:ascii="Times New Roman" w:hAnsi="Times New Roman"/>
          <w:b w:val="false"/>
          <w:sz w:val="21"/>
        </w:rPr>
        <w:t>5G=0.58, LTE=0.55, WiFi=0.52</w:t>
      </w:r>
      <w:r>
        <w:rPr>
          <w:rFonts w:ascii="Times New Roman" w:hAnsi="Times New Roman" w:eastAsia="宋体"/>
          <w:b w:val="false"/>
          <w:sz w:val="21"/>
        </w:rPr>
        <w:t>）时，缺乏稳定性惩罚可能导致选择波动更大的网络。为此，本节提出自适应滞后与风险敏感决策两项增强机制，无需重新训练模型即可提升</w:t>
      </w:r>
      <w:r>
        <w:rPr>
          <w:rFonts w:eastAsia="宋体" w:ascii="Times New Roman" w:hAnsi="Times New Roman"/>
          <w:b w:val="false"/>
          <w:sz w:val="21"/>
        </w:rPr>
        <w:t>LAAVHA</w:t>
      </w:r>
      <w:r>
        <w:rPr>
          <w:rFonts w:ascii="Times New Roman" w:hAnsi="Times New Roman" w:eastAsia="宋体"/>
          <w:b w:val="false"/>
          <w:sz w:val="21"/>
        </w:rPr>
        <w:t>在复杂场景下的适应性。</w:t>
      </w:r>
    </w:p>
    <w:p>
      <w:pPr>
        <w:pStyle w:val="Normal"/>
        <w:ind w:firstLine="420"/>
        <w:jc w:val="both"/>
        <w:rPr/>
      </w:pP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）自适应滞后参数。将固定阈值</w:t>
      </w:r>
      <w:r>
        <w:rPr>
          <w:rFonts w:eastAsia="宋体" w:ascii="Times New Roman" w:hAnsi="Times New Roman"/>
          <w:b w:val="false"/>
          <w:sz w:val="21"/>
        </w:rPr>
        <w:t>Delta_th</w:t>
      </w:r>
      <w:r>
        <w:rPr>
          <w:rFonts w:ascii="Times New Roman" w:hAnsi="Times New Roman" w:eastAsia="宋体"/>
          <w:b w:val="false"/>
          <w:sz w:val="21"/>
        </w:rPr>
        <w:t>和时间窗口</w:t>
      </w:r>
      <w:r>
        <w:rPr>
          <w:rFonts w:eastAsia="宋体" w:ascii="Times New Roman" w:hAnsi="Times New Roman"/>
          <w:b w:val="false"/>
          <w:sz w:val="21"/>
        </w:rPr>
        <w:t>T</w:t>
      </w:r>
      <w:r>
        <w:rPr>
          <w:rFonts w:ascii="Times New Roman" w:hAnsi="Times New Roman" w:eastAsia="宋体"/>
          <w:b w:val="false"/>
          <w:sz w:val="21"/>
        </w:rPr>
        <w:t>替换为上下文感知的可变参数。定义近期</w:t>
      </w:r>
      <w:r>
        <w:rPr>
          <w:rFonts w:eastAsia="宋体" w:ascii="Times New Roman" w:hAnsi="Times New Roman"/>
          <w:b w:val="false"/>
          <w:sz w:val="21"/>
        </w:rPr>
        <w:t>SINR</w:t>
      </w:r>
      <w:r>
        <w:rPr>
          <w:rFonts w:ascii="Times New Roman" w:hAnsi="Times New Roman" w:eastAsia="宋体"/>
          <w:b w:val="false"/>
          <w:sz w:val="21"/>
        </w:rPr>
        <w:t>波动度</w:t>
      </w:r>
      <w:r>
        <w:rPr>
          <w:rFonts w:eastAsia="宋体" w:ascii="Times New Roman" w:hAnsi="Times New Roman"/>
          <w:b w:val="false"/>
          <w:sz w:val="21"/>
        </w:rPr>
        <w:t>sigma_sinr</w:t>
      </w:r>
      <w:r>
        <w:rPr>
          <w:rFonts w:ascii="Times New Roman" w:hAnsi="Times New Roman" w:eastAsia="宋体"/>
          <w:b w:val="false"/>
          <w:sz w:val="21"/>
        </w:rPr>
        <w:t>为当前服务网络近</w:t>
      </w:r>
      <w:r>
        <w:rPr>
          <w:rFonts w:eastAsia="宋体" w:ascii="Times New Roman" w:hAnsi="Times New Roman"/>
          <w:b w:val="false"/>
          <w:sz w:val="21"/>
        </w:rPr>
        <w:t>5</w:t>
      </w:r>
      <w:r>
        <w:rPr>
          <w:rFonts w:ascii="Times New Roman" w:hAnsi="Times New Roman" w:eastAsia="宋体"/>
          <w:b w:val="false"/>
          <w:sz w:val="21"/>
        </w:rPr>
        <w:t>个决策周期</w:t>
      </w:r>
      <w:r>
        <w:rPr>
          <w:rFonts w:eastAsia="宋体" w:ascii="Times New Roman" w:hAnsi="Times New Roman"/>
          <w:b w:val="false"/>
          <w:sz w:val="21"/>
        </w:rPr>
        <w:t>SINR</w:t>
      </w:r>
      <w:r>
        <w:rPr>
          <w:rFonts w:ascii="Times New Roman" w:hAnsi="Times New Roman" w:eastAsia="宋体"/>
          <w:b w:val="false"/>
          <w:sz w:val="21"/>
        </w:rPr>
        <w:t>的标准差，飞行速度</w:t>
      </w:r>
      <w:r>
        <w:rPr>
          <w:rFonts w:eastAsia="宋体" w:ascii="Times New Roman" w:hAnsi="Times New Roman"/>
          <w:b w:val="false"/>
          <w:sz w:val="21"/>
        </w:rPr>
        <w:t>v</w:t>
      </w:r>
      <w:r>
        <w:rPr>
          <w:rFonts w:ascii="Times New Roman" w:hAnsi="Times New Roman" w:eastAsia="宋体"/>
          <w:b w:val="false"/>
          <w:sz w:val="21"/>
        </w:rPr>
        <w:t>由</w:t>
      </w:r>
      <w:r>
        <w:rPr>
          <w:rFonts w:eastAsia="宋体" w:ascii="Times New Roman" w:hAnsi="Times New Roman"/>
          <w:b w:val="false"/>
          <w:sz w:val="21"/>
        </w:rPr>
        <w:t>C++</w:t>
      </w:r>
      <w:r>
        <w:rPr>
          <w:rFonts w:ascii="Times New Roman" w:hAnsi="Times New Roman" w:eastAsia="宋体"/>
          <w:b w:val="false"/>
          <w:sz w:val="21"/>
        </w:rPr>
        <w:t>侧实时传入（单位</w:t>
      </w:r>
      <w:r>
        <w:rPr>
          <w:rFonts w:eastAsia="宋体" w:ascii="Times New Roman" w:hAnsi="Times New Roman"/>
          <w:b w:val="false"/>
          <w:sz w:val="21"/>
        </w:rPr>
        <w:t>m/s</w:t>
      </w:r>
      <w:r>
        <w:rPr>
          <w:rFonts w:ascii="Times New Roman" w:hAnsi="Times New Roman" w:eastAsia="宋体"/>
          <w:b w:val="false"/>
          <w:sz w:val="21"/>
        </w:rPr>
        <w:t>）。自适应阈值和窗口计算公式为：</w:t>
      </w:r>
    </w:p>
    <w:p>
      <w:pPr>
        <w:pStyle w:val="Normal"/>
        <w:spacing w:before="60" w:after="60"/>
        <w:jc w:val="center"/>
        <w:rPr/>
      </w:pPr>
      <w:r>
        <w:rPr>
          <w:rFonts w:eastAsia="宋体" w:ascii="Times New Roman" w:hAnsi="Times New Roman"/>
          <w:b w:val="false"/>
          <w:i/>
          <w:sz w:val="20"/>
        </w:rPr>
        <w:t>Delta_th = 0.03 + 0.05 * clip(sigma_sinr/10, 0, 1)     (18a)</w:t>
        <w:br/>
        <w:t>T = max(2, floor(4 - 2 * clip(v/30, 0, 1)))           (18b)</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(18a)</w:t>
      </w:r>
      <w:r>
        <w:rPr>
          <w:rFonts w:ascii="Times New Roman" w:hAnsi="Times New Roman" w:eastAsia="宋体"/>
          <w:b w:val="false"/>
          <w:sz w:val="21"/>
        </w:rPr>
        <w:t>中，基础阈值</w:t>
      </w:r>
      <w:r>
        <w:rPr>
          <w:rFonts w:eastAsia="宋体" w:ascii="Times New Roman" w:hAnsi="Times New Roman"/>
          <w:b w:val="false"/>
          <w:sz w:val="21"/>
        </w:rPr>
        <w:t>0.03</w:t>
      </w:r>
      <w:r>
        <w:rPr>
          <w:rFonts w:ascii="Times New Roman" w:hAnsi="Times New Roman" w:eastAsia="宋体"/>
          <w:b w:val="false"/>
          <w:sz w:val="21"/>
        </w:rPr>
        <w:t>低于原始固定值</w:t>
      </w:r>
      <w:r>
        <w:rPr>
          <w:rFonts w:eastAsia="宋体" w:ascii="Times New Roman" w:hAnsi="Times New Roman"/>
          <w:b w:val="false"/>
          <w:sz w:val="21"/>
        </w:rPr>
        <w:t>0.05</w:t>
      </w:r>
      <w:r>
        <w:rPr>
          <w:rFonts w:ascii="Times New Roman" w:hAnsi="Times New Roman" w:eastAsia="宋体"/>
          <w:b w:val="false"/>
          <w:sz w:val="21"/>
        </w:rPr>
        <w:t>，在信道稳定时为快速响应预留了空间；波动修正项使阈值随</w:t>
      </w:r>
      <w:r>
        <w:rPr>
          <w:rFonts w:eastAsia="宋体" w:ascii="Times New Roman" w:hAnsi="Times New Roman"/>
          <w:b w:val="false"/>
          <w:sz w:val="21"/>
        </w:rPr>
        <w:t>SINR</w:t>
      </w:r>
      <w:r>
        <w:rPr>
          <w:rFonts w:ascii="Times New Roman" w:hAnsi="Times New Roman" w:eastAsia="宋体"/>
          <w:b w:val="false"/>
          <w:sz w:val="21"/>
        </w:rPr>
        <w:t>波动程度线性增长至最高</w:t>
      </w:r>
      <w:r>
        <w:rPr>
          <w:rFonts w:eastAsia="宋体" w:ascii="Times New Roman" w:hAnsi="Times New Roman"/>
          <w:b w:val="false"/>
          <w:sz w:val="21"/>
        </w:rPr>
        <w:t>0.08</w:t>
      </w:r>
      <w:r>
        <w:rPr>
          <w:rFonts w:ascii="Times New Roman" w:hAnsi="Times New Roman" w:eastAsia="宋体"/>
          <w:b w:val="false"/>
          <w:sz w:val="21"/>
        </w:rPr>
        <w:t>，在信道震荡时提高切换门槛以抑制乒乓。式</w:t>
      </w:r>
      <w:r>
        <w:rPr>
          <w:rFonts w:eastAsia="宋体" w:ascii="Times New Roman" w:hAnsi="Times New Roman"/>
          <w:b w:val="false"/>
          <w:sz w:val="21"/>
        </w:rPr>
        <w:t>(18b)</w:t>
      </w:r>
      <w:r>
        <w:rPr>
          <w:rFonts w:ascii="Times New Roman" w:hAnsi="Times New Roman" w:eastAsia="宋体"/>
          <w:b w:val="false"/>
          <w:sz w:val="21"/>
        </w:rPr>
        <w:t>中，基础窗口</w:t>
      </w:r>
      <w:r>
        <w:rPr>
          <w:rFonts w:eastAsia="宋体" w:ascii="Times New Roman" w:hAnsi="Times New Roman"/>
          <w:b w:val="false"/>
          <w:sz w:val="21"/>
        </w:rPr>
        <w:t>4</w:t>
      </w:r>
      <w:r>
        <w:rPr>
          <w:rFonts w:ascii="Times New Roman" w:hAnsi="Times New Roman" w:eastAsia="宋体"/>
          <w:b w:val="false"/>
          <w:sz w:val="21"/>
        </w:rPr>
        <w:t>为低速飞行提供充分的确认周期；速度修正项使窗口随飞行速度增加而缩短（最低为</w:t>
      </w:r>
      <w:r>
        <w:rPr>
          <w:rFonts w:eastAsia="宋体" w:ascii="Times New Roman" w:hAnsi="Times New Roman"/>
          <w:b w:val="false"/>
          <w:sz w:val="21"/>
        </w:rPr>
        <w:t>2</w:t>
      </w:r>
      <w:r>
        <w:rPr>
          <w:rFonts w:ascii="Times New Roman" w:hAnsi="Times New Roman" w:eastAsia="宋体"/>
          <w:b w:val="false"/>
          <w:sz w:val="21"/>
        </w:rPr>
        <w:t>），使快速移动的无人机在飞越覆盖边界时能够更及时地执行必要的切换。上述参数范围（</w:t>
      </w:r>
      <w:r>
        <w:rPr>
          <w:rFonts w:eastAsia="宋体" w:ascii="Times New Roman" w:hAnsi="Times New Roman"/>
          <w:b w:val="false"/>
          <w:sz w:val="21"/>
        </w:rPr>
        <w:t>Delta_th in [0.03, 0.08], T in [2,4]</w:t>
      </w:r>
      <w:r>
        <w:rPr>
          <w:rFonts w:ascii="Times New Roman" w:hAnsi="Times New Roman" w:eastAsia="宋体"/>
          <w:b w:val="false"/>
          <w:sz w:val="21"/>
        </w:rPr>
        <w:t>）确保了增强版在极端条件下仍具备基本防抖能力。</w:t>
      </w:r>
    </w:p>
    <w:p>
      <w:pPr>
        <w:pStyle w:val="Normal"/>
        <w:ind w:firstLine="420"/>
        <w:jc w:val="both"/>
        <w:rPr/>
      </w:pPr>
      <w:r>
        <w:rPr>
          <w:rFonts w:ascii="Times New Roman" w:hAnsi="Times New Roman" w:eastAsia="宋体"/>
          <w:b w:val="false"/>
          <w:sz w:val="21"/>
        </w:rPr>
        <w:t>（</w:t>
      </w:r>
      <w:r>
        <w:rPr>
          <w:rFonts w:eastAsia="宋体" w:ascii="Times New Roman" w:hAnsi="Times New Roman"/>
          <w:b w:val="false"/>
          <w:sz w:val="21"/>
        </w:rPr>
        <w:t>2</w:t>
      </w:r>
      <w:r>
        <w:rPr>
          <w:rFonts w:ascii="Times New Roman" w:hAnsi="Times New Roman" w:eastAsia="宋体"/>
          <w:b w:val="false"/>
          <w:sz w:val="21"/>
        </w:rPr>
        <w:t>）风险敏感</w:t>
      </w:r>
      <w:r>
        <w:rPr>
          <w:rFonts w:eastAsia="宋体" w:ascii="Times New Roman" w:hAnsi="Times New Roman"/>
          <w:b w:val="false"/>
          <w:sz w:val="21"/>
        </w:rPr>
        <w:t>TOPSIS</w:t>
      </w:r>
      <w:r>
        <w:rPr>
          <w:rFonts w:ascii="Times New Roman" w:hAnsi="Times New Roman" w:eastAsia="宋体"/>
          <w:b w:val="false"/>
          <w:sz w:val="21"/>
        </w:rPr>
        <w:t>。原始</w:t>
      </w:r>
      <w:r>
        <w:rPr>
          <w:rFonts w:eastAsia="宋体" w:ascii="Times New Roman" w:hAnsi="Times New Roman"/>
          <w:b w:val="false"/>
          <w:sz w:val="21"/>
        </w:rPr>
        <w:t>TOPSIS</w:t>
      </w:r>
      <w:r>
        <w:rPr>
          <w:rFonts w:ascii="Times New Roman" w:hAnsi="Times New Roman" w:eastAsia="宋体"/>
          <w:b w:val="false"/>
          <w:sz w:val="21"/>
        </w:rPr>
        <w:t>直接以式</w:t>
      </w:r>
      <w:r>
        <w:rPr>
          <w:rFonts w:eastAsia="宋体" w:ascii="Times New Roman" w:hAnsi="Times New Roman"/>
          <w:b w:val="false"/>
          <w:sz w:val="21"/>
        </w:rPr>
        <w:t>(15)</w:t>
      </w:r>
      <w:r>
        <w:rPr>
          <w:rFonts w:ascii="Times New Roman" w:hAnsi="Times New Roman" w:eastAsia="宋体"/>
          <w:b w:val="false"/>
          <w:sz w:val="21"/>
        </w:rPr>
        <w:t>的当前贴近度</w:t>
      </w:r>
      <w:r>
        <w:rPr>
          <w:rFonts w:eastAsia="宋体" w:ascii="Times New Roman" w:hAnsi="Times New Roman"/>
          <w:b w:val="false"/>
          <w:sz w:val="21"/>
        </w:rPr>
        <w:t>C_i</w:t>
      </w:r>
      <w:r>
        <w:rPr>
          <w:rFonts w:ascii="Times New Roman" w:hAnsi="Times New Roman" w:eastAsia="宋体"/>
          <w:b w:val="false"/>
          <w:sz w:val="21"/>
        </w:rPr>
        <w:t>作为网络排序依据。增强版引入置信下界（</w:t>
      </w:r>
      <w:r>
        <w:rPr>
          <w:rFonts w:eastAsia="宋体" w:ascii="Times New Roman" w:hAnsi="Times New Roman"/>
          <w:b w:val="false"/>
          <w:sz w:val="21"/>
        </w:rPr>
        <w:t>Lower Confidence Bound, LCB</w:t>
      </w:r>
      <w:r>
        <w:rPr>
          <w:rFonts w:ascii="Times New Roman" w:hAnsi="Times New Roman" w:eastAsia="宋体"/>
          <w:b w:val="false"/>
          <w:sz w:val="21"/>
        </w:rPr>
        <w:t>）思想，对每项候选网络评分减去其历史波动惩罚项：</w:t>
      </w:r>
    </w:p>
    <w:p>
      <w:pPr>
        <w:pStyle w:val="Normal"/>
        <w:spacing w:before="60" w:after="60"/>
        <w:jc w:val="center"/>
        <w:rPr/>
      </w:pPr>
      <w:r>
        <w:rPr>
          <w:rFonts w:eastAsia="宋体" w:ascii="Times New Roman" w:hAnsi="Times New Roman"/>
          <w:b w:val="false"/>
          <w:i/>
          <w:sz w:val="20"/>
        </w:rPr>
        <w:t>C^robust_i = C_i - lambda * std(C_i, last 5 steps),  lambda = 0.5   (19)</w:t>
      </w:r>
    </w:p>
    <w:p>
      <w:pPr>
        <w:pStyle w:val="Normal"/>
        <w:ind w:firstLine="420"/>
        <w:jc w:val="both"/>
        <w:rPr/>
      </w:pPr>
      <w:r>
        <w:rPr>
          <w:rFonts w:ascii="Times New Roman" w:hAnsi="Times New Roman" w:eastAsia="宋体"/>
          <w:b w:val="false"/>
          <w:sz w:val="21"/>
        </w:rPr>
        <w:t>其中</w:t>
      </w:r>
      <w:r>
        <w:rPr>
          <w:rFonts w:eastAsia="宋体" w:ascii="Times New Roman" w:hAnsi="Times New Roman"/>
          <w:b w:val="false"/>
          <w:sz w:val="21"/>
        </w:rPr>
        <w:t>std(C_i, last 5 steps)</w:t>
      </w:r>
      <w:r>
        <w:rPr>
          <w:rFonts w:ascii="Times New Roman" w:hAnsi="Times New Roman" w:eastAsia="宋体"/>
          <w:b w:val="false"/>
          <w:sz w:val="21"/>
        </w:rPr>
        <w:t>为候选网络</w:t>
      </w:r>
      <w:r>
        <w:rPr>
          <w:rFonts w:eastAsia="宋体" w:ascii="Times New Roman" w:hAnsi="Times New Roman"/>
          <w:b w:val="false"/>
          <w:sz w:val="21"/>
        </w:rPr>
        <w:t>i</w:t>
      </w:r>
      <w:r>
        <w:rPr>
          <w:rFonts w:ascii="Times New Roman" w:hAnsi="Times New Roman" w:eastAsia="宋体"/>
          <w:b w:val="false"/>
          <w:sz w:val="21"/>
        </w:rPr>
        <w:t>近</w:t>
      </w:r>
      <w:r>
        <w:rPr>
          <w:rFonts w:eastAsia="宋体" w:ascii="Times New Roman" w:hAnsi="Times New Roman"/>
          <w:b w:val="false"/>
          <w:sz w:val="21"/>
        </w:rPr>
        <w:t>5</w:t>
      </w:r>
      <w:r>
        <w:rPr>
          <w:rFonts w:ascii="Times New Roman" w:hAnsi="Times New Roman" w:eastAsia="宋体"/>
          <w:b w:val="false"/>
          <w:sz w:val="21"/>
        </w:rPr>
        <w:t>个决策周期贴近度的标准差，</w:t>
      </w:r>
      <w:r>
        <w:rPr>
          <w:rFonts w:eastAsia="宋体" w:ascii="Times New Roman" w:hAnsi="Times New Roman"/>
          <w:b w:val="false"/>
          <w:sz w:val="21"/>
        </w:rPr>
        <w:t>lambda=0.5</w:t>
      </w:r>
      <w:r>
        <w:rPr>
          <w:rFonts w:ascii="Times New Roman" w:hAnsi="Times New Roman" w:eastAsia="宋体"/>
          <w:b w:val="false"/>
          <w:sz w:val="21"/>
        </w:rPr>
        <w:t>为风险厌恶系数。该机制的思想是：在多个候选网络贴近度接近时，优先选择评分稳定的网络而非均值略高但波动剧烈的网络。在遥感巡航场景中，这意味着若</w:t>
      </w:r>
      <w:r>
        <w:rPr>
          <w:rFonts w:eastAsia="宋体" w:ascii="Times New Roman" w:hAnsi="Times New Roman"/>
          <w:b w:val="false"/>
          <w:sz w:val="21"/>
        </w:rPr>
        <w:t>LTE</w:t>
      </w:r>
      <w:r>
        <w:rPr>
          <w:rFonts w:ascii="Times New Roman" w:hAnsi="Times New Roman" w:eastAsia="宋体"/>
          <w:b w:val="false"/>
          <w:sz w:val="21"/>
        </w:rPr>
        <w:t>在近</w:t>
      </w:r>
      <w:r>
        <w:rPr>
          <w:rFonts w:eastAsia="宋体" w:ascii="Times New Roman" w:hAnsi="Times New Roman"/>
          <w:b w:val="false"/>
          <w:sz w:val="21"/>
        </w:rPr>
        <w:t>5</w:t>
      </w:r>
      <w:r>
        <w:rPr>
          <w:rFonts w:ascii="Times New Roman" w:hAnsi="Times New Roman" w:eastAsia="宋体"/>
          <w:b w:val="false"/>
          <w:sz w:val="21"/>
        </w:rPr>
        <w:t>个周期内贴近度持续上升、方差较小，而</w:t>
      </w:r>
      <w:r>
        <w:rPr>
          <w:rFonts w:eastAsia="宋体" w:ascii="Times New Roman" w:hAnsi="Times New Roman"/>
          <w:b w:val="false"/>
          <w:sz w:val="21"/>
        </w:rPr>
        <w:t>WiFi</w:t>
      </w:r>
      <w:r>
        <w:rPr>
          <w:rFonts w:ascii="Times New Roman" w:hAnsi="Times New Roman" w:eastAsia="宋体"/>
          <w:b w:val="false"/>
          <w:sz w:val="21"/>
        </w:rPr>
        <w:t>贴近度在高低之间大幅跳动，即使</w:t>
      </w:r>
      <w:r>
        <w:rPr>
          <w:rFonts w:eastAsia="宋体" w:ascii="Times New Roman" w:hAnsi="Times New Roman"/>
          <w:b w:val="false"/>
          <w:sz w:val="21"/>
        </w:rPr>
        <w:t>WiFi</w:t>
      </w:r>
      <w:r>
        <w:rPr>
          <w:rFonts w:ascii="Times New Roman" w:hAnsi="Times New Roman" w:eastAsia="宋体"/>
          <w:b w:val="false"/>
          <w:sz w:val="21"/>
        </w:rPr>
        <w:t>的当前贴近度略高于</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C^robust</w:t>
      </w:r>
      <w:r>
        <w:rPr>
          <w:rFonts w:ascii="Times New Roman" w:hAnsi="Times New Roman" w:eastAsia="宋体"/>
          <w:b w:val="false"/>
          <w:sz w:val="21"/>
        </w:rPr>
        <w:t>排序仍将偏好</w:t>
      </w:r>
      <w:r>
        <w:rPr>
          <w:rFonts w:eastAsia="宋体" w:ascii="Times New Roman" w:hAnsi="Times New Roman"/>
          <w:b w:val="false"/>
          <w:sz w:val="21"/>
        </w:rPr>
        <w:t>LTE——</w:t>
      </w:r>
      <w:r>
        <w:rPr>
          <w:rFonts w:ascii="Times New Roman" w:hAnsi="Times New Roman" w:eastAsia="宋体"/>
          <w:b w:val="false"/>
          <w:sz w:val="21"/>
        </w:rPr>
        <w:t>从而降低</w:t>
      </w:r>
      <w:r>
        <w:rPr>
          <w:rFonts w:eastAsia="宋体" w:ascii="Times New Roman" w:hAnsi="Times New Roman"/>
          <w:b w:val="false"/>
          <w:sz w:val="21"/>
        </w:rPr>
        <w:t>"</w:t>
      </w:r>
      <w:r>
        <w:rPr>
          <w:rFonts w:ascii="Times New Roman" w:hAnsi="Times New Roman" w:eastAsia="宋体"/>
          <w:b w:val="false"/>
          <w:sz w:val="21"/>
        </w:rPr>
        <w:t>刚切过去又切回来</w:t>
      </w:r>
      <w:r>
        <w:rPr>
          <w:rFonts w:eastAsia="宋体" w:ascii="Times New Roman" w:hAnsi="Times New Roman"/>
          <w:b w:val="false"/>
          <w:sz w:val="21"/>
        </w:rPr>
        <w:t>"</w:t>
      </w:r>
      <w:r>
        <w:rPr>
          <w:rFonts w:ascii="Times New Roman" w:hAnsi="Times New Roman" w:eastAsia="宋体"/>
          <w:b w:val="false"/>
          <w:sz w:val="21"/>
        </w:rPr>
        <w:t>的风险。</w:t>
      </w:r>
    </w:p>
    <w:p>
      <w:pPr>
        <w:pStyle w:val="Normal"/>
        <w:ind w:firstLine="420"/>
        <w:jc w:val="both"/>
        <w:rPr/>
      </w:pP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rFonts w:ascii="Times New Roman" w:hAnsi="Times New Roman" w:eastAsia="宋体"/>
          <w:b w:val="false"/>
          <w:sz w:val="21"/>
        </w:rPr>
        <w:drawing>
          <wp:inline distT="0" distB="0" distL="0" distR="0">
            <wp:extent cx="5443220" cy="41675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43220" cy="416750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5 LAAVHA</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5G</w:t>
      </w:r>
      <w:r>
        <w:rPr>
          <w:rFonts w:ascii="Times New Roman" w:hAnsi="Times New Roman" w:eastAsia="宋体"/>
          <w:b w:val="false"/>
          <w:sz w:val="18"/>
        </w:rPr>
        <w:t>信道振荡压力场景下的对比（</w:t>
      </w:r>
      <w:r>
        <w:rPr>
          <w:rFonts w:eastAsia="宋体" w:ascii="Times New Roman" w:hAnsi="Times New Roman"/>
          <w:b w:val="false"/>
          <w:sz w:val="18"/>
        </w:rPr>
        <w:t>±15dB SINR</w:t>
      </w:r>
      <w:r>
        <w:rPr>
          <w:rFonts w:ascii="Times New Roman" w:hAnsi="Times New Roman" w:eastAsia="宋体"/>
          <w:b w:val="false"/>
          <w:sz w:val="18"/>
        </w:rPr>
        <w:t>振荡</w:t>
      </w:r>
      <w:r>
        <w:rPr>
          <w:rFonts w:eastAsia="宋体" w:ascii="Times New Roman" w:hAnsi="Times New Roman"/>
          <w:b w:val="false"/>
          <w:sz w:val="18"/>
        </w:rPr>
        <w:t>+WiFi</w:t>
      </w:r>
      <w:r>
        <w:rPr>
          <w:rFonts w:ascii="Times New Roman" w:hAnsi="Times New Roman" w:eastAsia="宋体"/>
          <w:b w:val="false"/>
          <w:sz w:val="18"/>
        </w:rPr>
        <w:t>增强</w:t>
      </w:r>
      <w:r>
        <w:rPr>
          <w:rFonts w:eastAsia="宋体" w:ascii="Times New Roman" w:hAnsi="Times New Roman"/>
          <w:b w:val="false"/>
          <w:sz w:val="18"/>
        </w:rPr>
        <w:t>, t=3-6s</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5</w:t>
      </w:r>
      <w:r>
        <w:rPr>
          <w:rFonts w:ascii="Times New Roman" w:hAnsi="Times New Roman" w:eastAsia="宋体"/>
          <w:b w:val="false"/>
          <w:sz w:val="21"/>
        </w:rPr>
        <w:t>第四个子图展示了自适应阈值</w:t>
      </w:r>
      <w:r>
        <w:rPr>
          <w:rFonts w:eastAsia="宋体" w:ascii="Times New Roman" w:hAnsi="Times New Roman"/>
          <w:b w:val="false"/>
          <w:sz w:val="21"/>
        </w:rPr>
        <w:t>Delta_th</w:t>
      </w:r>
      <w:r>
        <w:rPr>
          <w:rFonts w:ascii="Times New Roman" w:hAnsi="Times New Roman" w:eastAsia="宋体"/>
          <w:b w:val="false"/>
          <w:sz w:val="21"/>
        </w:rPr>
        <w:t>随时间的变化曲线。在进入振荡区间（</w:t>
      </w:r>
      <w:r>
        <w:rPr>
          <w:rFonts w:eastAsia="宋体" w:ascii="Times New Roman" w:hAnsi="Times New Roman"/>
          <w:b w:val="false"/>
          <w:sz w:val="21"/>
        </w:rPr>
        <w:t>t=3 s</w:t>
      </w:r>
      <w:r>
        <w:rPr>
          <w:rFonts w:ascii="Times New Roman" w:hAnsi="Times New Roman" w:eastAsia="宋体"/>
          <w:b w:val="false"/>
          <w:sz w:val="21"/>
        </w:rPr>
        <w:t>）后，</w:t>
      </w:r>
      <w:r>
        <w:rPr>
          <w:rFonts w:eastAsia="宋体" w:ascii="Times New Roman" w:hAnsi="Times New Roman"/>
          <w:b w:val="false"/>
          <w:sz w:val="21"/>
        </w:rPr>
        <w:t>Delta_th</w:t>
      </w:r>
      <w:r>
        <w:rPr>
          <w:rFonts w:ascii="Times New Roman" w:hAnsi="Times New Roman" w:eastAsia="宋体"/>
          <w:b w:val="false"/>
          <w:sz w:val="21"/>
        </w:rPr>
        <w:t>迅速从稳态值</w:t>
      </w:r>
      <w:r>
        <w:rPr>
          <w:rFonts w:eastAsia="宋体" w:ascii="Times New Roman" w:hAnsi="Times New Roman"/>
          <w:b w:val="false"/>
          <w:sz w:val="21"/>
        </w:rPr>
        <w:t>0.03</w:t>
      </w:r>
      <w:r>
        <w:rPr>
          <w:rFonts w:ascii="Times New Roman" w:hAnsi="Times New Roman" w:eastAsia="宋体"/>
          <w:b w:val="false"/>
          <w:sz w:val="21"/>
        </w:rPr>
        <w:t>上升至峰值约</w:t>
      </w:r>
      <w:r>
        <w:rPr>
          <w:rFonts w:eastAsia="宋体" w:ascii="Times New Roman" w:hAnsi="Times New Roman"/>
          <w:b w:val="false"/>
          <w:sz w:val="21"/>
        </w:rPr>
        <w:t>0.06~0.07</w:t>
      </w:r>
      <w:r>
        <w:rPr>
          <w:rFonts w:ascii="Times New Roman" w:hAnsi="Times New Roman" w:eastAsia="宋体"/>
          <w:b w:val="false"/>
          <w:sz w:val="21"/>
        </w:rPr>
        <w:t>，显著高于固定阈值</w:t>
      </w:r>
      <w:r>
        <w:rPr>
          <w:rFonts w:eastAsia="宋体" w:ascii="Times New Roman" w:hAnsi="Times New Roman"/>
          <w:b w:val="false"/>
          <w:sz w:val="21"/>
        </w:rPr>
        <w:t>0.05——</w:t>
      </w:r>
      <w:r>
        <w:rPr>
          <w:rFonts w:ascii="Times New Roman" w:hAnsi="Times New Roman" w:eastAsia="宋体"/>
          <w:b w:val="false"/>
          <w:sz w:val="21"/>
        </w:rPr>
        <w:t>这表明自适应机制能够正确检测到</w:t>
      </w:r>
      <w:r>
        <w:rPr>
          <w:rFonts w:eastAsia="宋体" w:ascii="Times New Roman" w:hAnsi="Times New Roman"/>
          <w:b w:val="false"/>
          <w:sz w:val="21"/>
        </w:rPr>
        <w:t>SINR</w:t>
      </w:r>
      <w:r>
        <w:rPr>
          <w:rFonts w:ascii="Times New Roman" w:hAnsi="Times New Roman" w:eastAsia="宋体"/>
          <w:b w:val="false"/>
          <w:sz w:val="21"/>
        </w:rPr>
        <w:t>波动度的增加并自动提升切换门槛。当</w:t>
      </w:r>
      <w:r>
        <w:rPr>
          <w:rFonts w:eastAsia="宋体" w:ascii="Times New Roman" w:hAnsi="Times New Roman"/>
          <w:b w:val="false"/>
          <w:sz w:val="21"/>
        </w:rPr>
        <w:t>t=6 s</w:t>
      </w:r>
      <w:r>
        <w:rPr>
          <w:rFonts w:ascii="Times New Roman" w:hAnsi="Times New Roman" w:eastAsia="宋体"/>
          <w:b w:val="false"/>
          <w:sz w:val="21"/>
        </w:rPr>
        <w:t>后</w:t>
      </w:r>
      <w:r>
        <w:rPr>
          <w:rFonts w:eastAsia="宋体" w:ascii="Times New Roman" w:hAnsi="Times New Roman"/>
          <w:b w:val="false"/>
          <w:sz w:val="21"/>
        </w:rPr>
        <w:t>5G SINR</w:t>
      </w:r>
      <w:r>
        <w:rPr>
          <w:rFonts w:ascii="Times New Roman" w:hAnsi="Times New Roman" w:eastAsia="宋体"/>
          <w:b w:val="false"/>
          <w:sz w:val="21"/>
        </w:rPr>
        <w:t>恢复稳定，</w:t>
      </w:r>
      <w:r>
        <w:rPr>
          <w:rFonts w:eastAsia="宋体" w:ascii="Times New Roman" w:hAnsi="Times New Roman"/>
          <w:b w:val="false"/>
          <w:sz w:val="21"/>
        </w:rPr>
        <w:t>Delta_th</w:t>
      </w:r>
      <w:r>
        <w:rPr>
          <w:rFonts w:ascii="Times New Roman" w:hAnsi="Times New Roman" w:eastAsia="宋体"/>
          <w:b w:val="false"/>
          <w:sz w:val="21"/>
        </w:rPr>
        <w:t>平滑衰减回</w:t>
      </w:r>
      <w:r>
        <w:rPr>
          <w:rFonts w:eastAsia="宋体" w:ascii="Times New Roman" w:hAnsi="Times New Roman"/>
          <w:b w:val="false"/>
          <w:sz w:val="21"/>
        </w:rPr>
        <w:t>0.03</w:t>
      </w:r>
      <w:r>
        <w:rPr>
          <w:rFonts w:ascii="Times New Roman" w:hAnsi="Times New Roman" w:eastAsia="宋体"/>
          <w:b w:val="false"/>
          <w:sz w:val="21"/>
        </w:rPr>
        <w:t>水平，证明自适应参数具有可逆性，不会因历史波动而产生永久偏移。两个版本在本次压力测试中切换次数相同（均为</w:t>
      </w:r>
      <w:r>
        <w:rPr>
          <w:rFonts w:eastAsia="宋体" w:ascii="Times New Roman" w:hAnsi="Times New Roman"/>
          <w:b w:val="false"/>
          <w:sz w:val="21"/>
        </w:rPr>
        <w:t>2</w:t>
      </w:r>
      <w:r>
        <w:rPr>
          <w:rFonts w:ascii="Times New Roman" w:hAnsi="Times New Roman" w:eastAsia="宋体"/>
          <w:b w:val="false"/>
          <w:sz w:val="21"/>
        </w:rPr>
        <w:t>次），其根本原因在于</w:t>
      </w:r>
      <w:r>
        <w:rPr>
          <w:rFonts w:eastAsia="宋体" w:ascii="Times New Roman" w:hAnsi="Times New Roman"/>
          <w:b w:val="false"/>
          <w:sz w:val="21"/>
        </w:rPr>
        <w:t>5G</w:t>
      </w:r>
      <w:r>
        <w:rPr>
          <w:rFonts w:ascii="Times New Roman" w:hAnsi="Times New Roman" w:eastAsia="宋体"/>
          <w:b w:val="false"/>
          <w:sz w:val="21"/>
        </w:rPr>
        <w:t>代理模型下的</w:t>
      </w:r>
      <w:r>
        <w:rPr>
          <w:rFonts w:eastAsia="宋体" w:ascii="Times New Roman" w:hAnsi="Times New Roman"/>
          <w:b w:val="false"/>
          <w:sz w:val="21"/>
        </w:rPr>
        <w:t>TOPSIS</w:t>
      </w:r>
      <w:r>
        <w:rPr>
          <w:rFonts w:ascii="Times New Roman" w:hAnsi="Times New Roman" w:eastAsia="宋体"/>
          <w:b w:val="false"/>
          <w:sz w:val="21"/>
        </w:rPr>
        <w:t>贴近度始终与其他候选网络保持较大差距（最接近时仍</w:t>
      </w:r>
      <w:r>
        <w:rPr>
          <w:rFonts w:eastAsia="宋体" w:ascii="Times New Roman" w:hAnsi="Times New Roman"/>
          <w:b w:val="false"/>
          <w:sz w:val="21"/>
        </w:rPr>
        <w:t>&gt;0.12</w:t>
      </w:r>
      <w:r>
        <w:rPr>
          <w:rFonts w:ascii="Times New Roman" w:hAnsi="Times New Roman" w:eastAsia="宋体"/>
          <w:b w:val="false"/>
          <w:sz w:val="21"/>
        </w:rPr>
        <w:t>），波动幅度未能突破自适应阈值的保护区间——这正是滞后机制正确发挥作用的理想表现：即使面对显著的信道扰动，算法仍能维持决策稳定性，未因干扰引入额外切换。</w:t>
      </w:r>
    </w:p>
    <w:p>
      <w:pPr>
        <w:pStyle w:val="Normal"/>
        <w:ind w:firstLine="420"/>
        <w:jc w:val="both"/>
        <w:rPr/>
      </w:pPr>
      <w:r>
        <w:rPr>
          <w:rFonts w:ascii="Times New Roman" w:hAnsi="Times New Roman" w:eastAsia="宋体"/>
          <w:b w:val="false"/>
          <w:sz w:val="21"/>
        </w:rPr>
        <w:t>需指出的是，自适应滞后和风险敏感</w:t>
      </w:r>
      <w:r>
        <w:rPr>
          <w:rFonts w:eastAsia="宋体" w:ascii="Times New Roman" w:hAnsi="Times New Roman"/>
          <w:b w:val="false"/>
          <w:sz w:val="21"/>
        </w:rPr>
        <w:t>TOPSIS</w:t>
      </w:r>
      <w:r>
        <w:rPr>
          <w:rFonts w:ascii="Times New Roman" w:hAnsi="Times New Roman" w:eastAsia="宋体"/>
          <w:b w:val="false"/>
          <w:sz w:val="21"/>
        </w:rPr>
        <w:t>机制的关键优势需要在真实</w:t>
      </w:r>
      <w:r>
        <w:rPr>
          <w:rFonts w:eastAsia="宋体" w:ascii="Times New Roman" w:hAnsi="Times New Roman"/>
          <w:b w:val="false"/>
          <w:sz w:val="21"/>
        </w:rPr>
        <w:t>NR</w:t>
      </w:r>
      <w:r>
        <w:rPr>
          <w:rFonts w:ascii="Times New Roman" w:hAnsi="Times New Roman" w:eastAsia="宋体"/>
          <w:b w:val="false"/>
          <w:sz w:val="21"/>
        </w:rPr>
        <w:t>协议栈和多样化信道条件下才能充分体现——当候选网络评分进入</w:t>
      </w:r>
      <w:r>
        <w:rPr>
          <w:rFonts w:eastAsia="宋体" w:ascii="Times New Roman" w:hAnsi="Times New Roman"/>
          <w:b w:val="false"/>
          <w:sz w:val="21"/>
        </w:rPr>
        <w:t>0.50~0.55</w:t>
      </w:r>
      <w:r>
        <w:rPr>
          <w:rFonts w:ascii="Times New Roman" w:hAnsi="Times New Roman" w:eastAsia="宋体"/>
          <w:b w:val="false"/>
          <w:sz w:val="21"/>
        </w:rPr>
        <w:t>的竞争区间时，自适应阈值和风险罚分项才能发挥区分作用。在当前的代理</w:t>
      </w:r>
      <w:r>
        <w:rPr>
          <w:rFonts w:eastAsia="宋体" w:ascii="Times New Roman" w:hAnsi="Times New Roman"/>
          <w:b w:val="false"/>
          <w:sz w:val="21"/>
        </w:rPr>
        <w:t>5G</w:t>
      </w:r>
      <w:r>
        <w:rPr>
          <w:rFonts w:ascii="Times New Roman" w:hAnsi="Times New Roman" w:eastAsia="宋体"/>
          <w:b w:val="false"/>
          <w:sz w:val="21"/>
        </w:rPr>
        <w:t>模型约束下，图</w:t>
      </w:r>
      <w:r>
        <w:rPr>
          <w:rFonts w:eastAsia="宋体" w:ascii="Times New Roman" w:hAnsi="Times New Roman"/>
          <w:b w:val="false"/>
          <w:sz w:val="21"/>
        </w:rPr>
        <w:t>5</w:t>
      </w:r>
      <w:r>
        <w:rPr>
          <w:rFonts w:ascii="Times New Roman" w:hAnsi="Times New Roman" w:eastAsia="宋体"/>
          <w:b w:val="false"/>
          <w:sz w:val="21"/>
        </w:rPr>
        <w:t>主要验证了自适应参数的动态响应行为是否符合设计预期（阈值随波动上升、波动消退后恢复），为此后的真实环境部署提供了机制级的功能验证。</w:t>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79"/>
        <w:gridCol w:w="2383"/>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79" w:type="dxa"/>
            <w:tcBorders/>
          </w:tcPr>
          <w:p>
            <w:pPr>
              <w:pStyle w:val="Normal"/>
              <w:spacing w:before="0" w:after="100"/>
              <w:jc w:val="center"/>
              <w:rPr/>
            </w:pPr>
            <w:r>
              <w:rPr>
                <w:rFonts w:ascii="Times New Roman" w:hAnsi="Times New Roman" w:eastAsia="宋体"/>
                <w:b/>
                <w:sz w:val="18"/>
              </w:rPr>
              <w:t>标准差</w:t>
            </w:r>
          </w:p>
        </w:tc>
        <w:tc>
          <w:tcPr>
            <w:tcW w:w="2383"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0.0</w:t>
            </w:r>
          </w:p>
        </w:tc>
        <w:tc>
          <w:tcPr>
            <w:tcW w:w="2379" w:type="dxa"/>
            <w:tcBorders/>
          </w:tcPr>
          <w:p>
            <w:pPr>
              <w:pStyle w:val="Normal"/>
              <w:spacing w:before="0" w:after="100"/>
              <w:jc w:val="center"/>
              <w:rPr/>
            </w:pPr>
            <w:r>
              <w:rPr>
                <w:rFonts w:eastAsia="宋体" w:ascii="Times New Roman" w:hAnsi="Times New Roman"/>
                <w:b w:val="false"/>
                <w:sz w:val="18"/>
              </w:rPr>
              <w:t>0.00</w:t>
            </w:r>
          </w:p>
        </w:tc>
        <w:tc>
          <w:tcPr>
            <w:tcW w:w="2383"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20/20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0.0</w:t>
            </w:r>
          </w:p>
        </w:tc>
        <w:tc>
          <w:tcPr>
            <w:tcW w:w="2379" w:type="dxa"/>
            <w:tcBorders/>
          </w:tcPr>
          <w:p>
            <w:pPr>
              <w:pStyle w:val="Normal"/>
              <w:spacing w:before="0" w:after="100"/>
              <w:jc w:val="center"/>
              <w:rPr/>
            </w:pPr>
            <w:r>
              <w:rPr>
                <w:rFonts w:eastAsia="宋体" w:ascii="Times New Roman" w:hAnsi="Times New Roman"/>
                <w:b w:val="false"/>
                <w:sz w:val="18"/>
              </w:rPr>
              <w:t>0.00</w:t>
            </w:r>
          </w:p>
        </w:tc>
        <w:tc>
          <w:tcPr>
            <w:tcW w:w="2383"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20/20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ind w:firstLine="420"/>
        <w:jc w:val="both"/>
        <w:rPr/>
      </w:pPr>
      <w:r>
        <w:rPr>
          <w:rFonts w:ascii="宋体" w:hAnsi="宋体" w:eastAsia="宋体"/>
          <w:sz w:val="21"/>
          <w:szCs w:val="21"/>
        </w:rPr>
        <w:t>如表</w:t>
      </w:r>
      <w:r>
        <w:rPr>
          <w:rFonts w:eastAsia="宋体" w:ascii="宋体" w:hAnsi="宋体"/>
          <w:sz w:val="21"/>
          <w:szCs w:val="21"/>
        </w:rPr>
        <w:t>4</w:t>
      </w:r>
      <w:r>
        <w:rPr>
          <w:rFonts w:ascii="宋体" w:hAnsi="宋体" w:eastAsia="宋体"/>
          <w:sz w:val="21"/>
          <w:szCs w:val="21"/>
        </w:rPr>
        <w:t>所示</w:t>
      </w:r>
      <w:r>
        <w:rPr/>
        <w:t>,</w:t>
      </w:r>
      <w:r>
        <w:rPr>
          <w:rFonts w:ascii="Times New Roman" w:hAnsi="Times New Roman" w:eastAsia="宋体"/>
          <w:b w:val="false"/>
          <w:sz w:val="21"/>
        </w:rPr>
        <w:t>在标准代理场景下，原始</w:t>
      </w:r>
      <w:r>
        <w:rPr>
          <w:rFonts w:eastAsia="宋体" w:ascii="Times New Roman" w:hAnsi="Times New Roman"/>
          <w:b w:val="false"/>
          <w:sz w:val="21"/>
        </w:rPr>
        <w:t>LAAVHA</w:t>
      </w:r>
      <w:r>
        <w:rPr>
          <w:rFonts w:ascii="Times New Roman" w:hAnsi="Times New Roman" w:eastAsia="宋体"/>
          <w:b w:val="false"/>
          <w:sz w:val="21"/>
        </w:rPr>
        <w:t>与</w:t>
      </w:r>
      <w:r>
        <w:rPr>
          <w:rFonts w:eastAsia="宋体" w:ascii="Times New Roman" w:hAnsi="Times New Roman"/>
          <w:b w:val="false"/>
          <w:sz w:val="21"/>
        </w:rPr>
        <w:t>LAAVHA-enhanced</w:t>
      </w:r>
      <w:r>
        <w:rPr>
          <w:rFonts w:ascii="Times New Roman" w:hAnsi="Times New Roman" w:eastAsia="宋体"/>
          <w:b w:val="false"/>
          <w:sz w:val="21"/>
        </w:rPr>
        <w:t>均保持</w:t>
      </w:r>
      <w:r>
        <w:rPr>
          <w:rFonts w:eastAsia="宋体" w:ascii="Times New Roman" w:hAnsi="Times New Roman"/>
          <w:b w:val="false"/>
          <w:sz w:val="21"/>
        </w:rPr>
        <w:t>0</w:t>
      </w:r>
      <w:r>
        <w:rPr>
          <w:rFonts w:ascii="Times New Roman" w:hAnsi="Times New Roman" w:eastAsia="宋体"/>
          <w:b w:val="false"/>
          <w:sz w:val="21"/>
        </w:rPr>
        <w:t>次切换（</w:t>
      </w:r>
      <w:r>
        <w:rPr>
          <w:rFonts w:eastAsia="宋体" w:ascii="Times New Roman" w:hAnsi="Times New Roman"/>
          <w:b w:val="false"/>
          <w:sz w:val="21"/>
        </w:rPr>
        <w:t>20/20</w:t>
      </w:r>
      <w:r>
        <w:rPr>
          <w:rFonts w:ascii="Times New Roman" w:hAnsi="Times New Roman" w:eastAsia="宋体"/>
          <w:b w:val="false"/>
          <w:sz w:val="21"/>
        </w:rPr>
        <w:t>），最终接入网络均为</w:t>
      </w:r>
      <w:r>
        <w:rPr>
          <w:rFonts w:eastAsia="宋体" w:ascii="Times New Roman" w:hAnsi="Times New Roman"/>
          <w:b w:val="false"/>
          <w:sz w:val="21"/>
        </w:rPr>
        <w:t>5G</w:t>
      </w:r>
      <w:r>
        <w:rPr>
          <w:rFonts w:ascii="Times New Roman" w:hAnsi="Times New Roman" w:eastAsia="宋体"/>
          <w:b w:val="false"/>
          <w:sz w:val="21"/>
        </w:rPr>
        <w:t>。这一结果表明，增强机制在稳定的网络环境中不会引入额外切换——自适应阈值在信道稳定时维持在较低水平（</w:t>
      </w:r>
      <w:r>
        <w:rPr>
          <w:rFonts w:eastAsia="宋体" w:ascii="Times New Roman" w:hAnsi="Times New Roman"/>
          <w:b w:val="false"/>
          <w:sz w:val="21"/>
        </w:rPr>
        <w:t>~0.03</w:t>
      </w:r>
      <w:r>
        <w:rPr>
          <w:rFonts w:ascii="Times New Roman" w:hAnsi="Times New Roman" w:eastAsia="宋体"/>
          <w:b w:val="false"/>
          <w:sz w:val="21"/>
        </w:rPr>
        <w:t>），与原始固定</w:t>
      </w:r>
      <w:r>
        <w:rPr>
          <w:rFonts w:eastAsia="宋体" w:ascii="Times New Roman" w:hAnsi="Times New Roman"/>
          <w:b w:val="false"/>
          <w:sz w:val="21"/>
        </w:rPr>
        <w:t>0.05</w:t>
      </w:r>
      <w:r>
        <w:rPr>
          <w:rFonts w:ascii="Times New Roman" w:hAnsi="Times New Roman" w:eastAsia="宋体"/>
          <w:b w:val="false"/>
          <w:sz w:val="21"/>
        </w:rPr>
        <w:t>相比并未损害防抖性能。</w:t>
      </w:r>
      <w:r>
        <w:rPr>
          <w:rFonts w:eastAsia="宋体" w:ascii="Times New Roman" w:hAnsi="Times New Roman"/>
          <w:b w:val="false"/>
          <w:sz w:val="21"/>
        </w:rPr>
        <w:t>LAAVHA-enhanced</w:t>
      </w:r>
      <w:r>
        <w:rPr>
          <w:rFonts w:ascii="Times New Roman" w:hAnsi="Times New Roman" w:eastAsia="宋体"/>
          <w:b w:val="false"/>
          <w:sz w:val="21"/>
        </w:rPr>
        <w:t>的关键创新不在于在简单场景中</w:t>
      </w:r>
      <w:r>
        <w:rPr>
          <w:rFonts w:eastAsia="宋体" w:ascii="Times New Roman" w:hAnsi="Times New Roman"/>
          <w:b w:val="false"/>
          <w:sz w:val="21"/>
        </w:rPr>
        <w:t>"</w:t>
      </w:r>
      <w:r>
        <w:rPr>
          <w:rFonts w:ascii="Times New Roman" w:hAnsi="Times New Roman" w:eastAsia="宋体"/>
          <w:b w:val="false"/>
          <w:sz w:val="21"/>
        </w:rPr>
        <w:t>更好</w:t>
      </w:r>
      <w:r>
        <w:rPr>
          <w:rFonts w:eastAsia="宋体" w:ascii="Times New Roman" w:hAnsi="Times New Roman"/>
          <w:b w:val="false"/>
          <w:sz w:val="21"/>
        </w:rPr>
        <w:t>"</w:t>
      </w:r>
      <w:r>
        <w:rPr>
          <w:rFonts w:ascii="Times New Roman" w:hAnsi="Times New Roman" w:eastAsia="宋体"/>
          <w:b w:val="false"/>
          <w:sz w:val="21"/>
        </w:rPr>
        <w:t>，而在于其架构设计为复杂场景（高波动信道、多径衰落、动态业务负载）提供了自适应能力储备：当</w:t>
      </w:r>
      <w:r>
        <w:rPr>
          <w:rFonts w:eastAsia="宋体" w:ascii="Times New Roman" w:hAnsi="Times New Roman"/>
          <w:b w:val="false"/>
          <w:sz w:val="21"/>
        </w:rPr>
        <w:t>SINR</w:t>
      </w:r>
      <w:r>
        <w:rPr>
          <w:rFonts w:ascii="Times New Roman" w:hAnsi="Times New Roman" w:eastAsia="宋体"/>
          <w:b w:val="false"/>
          <w:sz w:val="21"/>
        </w:rPr>
        <w:t>波动加剧时，式</w:t>
      </w:r>
      <w:r>
        <w:rPr>
          <w:rFonts w:eastAsia="宋体" w:ascii="Times New Roman" w:hAnsi="Times New Roman"/>
          <w:b w:val="false"/>
          <w:sz w:val="21"/>
        </w:rPr>
        <w:t>(18a)</w:t>
      </w:r>
      <w:r>
        <w:rPr>
          <w:rFonts w:ascii="Times New Roman" w:hAnsi="Times New Roman" w:eastAsia="宋体"/>
          <w:b w:val="false"/>
          <w:sz w:val="21"/>
        </w:rPr>
        <w:t>自动提升切换门槛至</w:t>
      </w:r>
      <w:r>
        <w:rPr>
          <w:rFonts w:eastAsia="宋体" w:ascii="Times New Roman" w:hAnsi="Times New Roman"/>
          <w:b w:val="false"/>
          <w:sz w:val="21"/>
        </w:rPr>
        <w:t>0.08</w:t>
      </w:r>
      <w:r>
        <w:rPr>
          <w:rFonts w:ascii="Times New Roman" w:hAnsi="Times New Roman" w:eastAsia="宋体"/>
          <w:b w:val="false"/>
          <w:sz w:val="21"/>
        </w:rPr>
        <w:t>以抑制乒乓；当飞行速度增至</w:t>
      </w:r>
      <w:r>
        <w:rPr>
          <w:rFonts w:eastAsia="宋体" w:ascii="Times New Roman" w:hAnsi="Times New Roman"/>
          <w:b w:val="false"/>
          <w:sz w:val="21"/>
        </w:rPr>
        <w:t>30 m/s</w:t>
      </w:r>
      <w:r>
        <w:rPr>
          <w:rFonts w:ascii="Times New Roman" w:hAnsi="Times New Roman" w:eastAsia="宋体"/>
          <w:b w:val="false"/>
          <w:sz w:val="21"/>
        </w:rPr>
        <w:t>时，式</w:t>
      </w:r>
      <w:r>
        <w:rPr>
          <w:rFonts w:eastAsia="宋体" w:ascii="Times New Roman" w:hAnsi="Times New Roman"/>
          <w:b w:val="false"/>
          <w:sz w:val="21"/>
        </w:rPr>
        <w:t>(18b)</w:t>
      </w:r>
      <w:r>
        <w:rPr>
          <w:rFonts w:ascii="Times New Roman" w:hAnsi="Times New Roman" w:eastAsia="宋体"/>
          <w:b w:val="false"/>
          <w:sz w:val="21"/>
        </w:rPr>
        <w:t>将确认窗口从</w:t>
      </w:r>
      <w:r>
        <w:rPr>
          <w:rFonts w:eastAsia="宋体" w:ascii="Times New Roman" w:hAnsi="Times New Roman"/>
          <w:b w:val="false"/>
          <w:sz w:val="21"/>
        </w:rPr>
        <w:t>4</w:t>
      </w:r>
      <w:r>
        <w:rPr>
          <w:rFonts w:ascii="Times New Roman" w:hAnsi="Times New Roman" w:eastAsia="宋体"/>
          <w:b w:val="false"/>
          <w:sz w:val="21"/>
        </w:rPr>
        <w:t>缩短至</w:t>
      </w:r>
      <w:r>
        <w:rPr>
          <w:rFonts w:eastAsia="宋体" w:ascii="Times New Roman" w:hAnsi="Times New Roman"/>
          <w:b w:val="false"/>
          <w:sz w:val="21"/>
        </w:rPr>
        <w:t>2</w:t>
      </w:r>
      <w:r>
        <w:rPr>
          <w:rFonts w:ascii="Times New Roman" w:hAnsi="Times New Roman" w:eastAsia="宋体"/>
          <w:b w:val="false"/>
          <w:sz w:val="21"/>
        </w:rPr>
        <w:t>以加速必要切换。式</w:t>
      </w:r>
      <w:r>
        <w:rPr>
          <w:rFonts w:eastAsia="宋体" w:ascii="Times New Roman" w:hAnsi="Times New Roman"/>
          <w:b w:val="false"/>
          <w:sz w:val="21"/>
        </w:rPr>
        <w:t>(19)</w:t>
      </w:r>
      <w:r>
        <w:rPr>
          <w:rFonts w:ascii="Times New Roman" w:hAnsi="Times New Roman" w:eastAsia="宋体"/>
          <w:b w:val="false"/>
          <w:sz w:val="21"/>
        </w:rPr>
        <w:t>的风险惩罚项则在候选网络评分接近时提供稳定性优先的排序偏好。这些机制在代理</w:t>
      </w:r>
      <w:r>
        <w:rPr>
          <w:rFonts w:eastAsia="宋体" w:ascii="Times New Roman" w:hAnsi="Times New Roman"/>
          <w:b w:val="false"/>
          <w:sz w:val="21"/>
        </w:rPr>
        <w:t>5G</w:t>
      </w:r>
      <w:r>
        <w:rPr>
          <w:rFonts w:ascii="Times New Roman" w:hAnsi="Times New Roman" w:eastAsia="宋体"/>
          <w:b w:val="false"/>
          <w:sz w:val="21"/>
        </w:rPr>
        <w:t>环境下的表现与原版一致，但其设计目标是为后续引入真实信道模型和多样化流量后的算法适应性奠定基础。</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ind w:firstLine="420"/>
        <w:jc w:val="both"/>
      </w:pPr>
      <w:r>
        <w:rPr>
          <w:rFonts w:ascii="Times New Roman" w:hAnsi="Times New Roman" w:eastAsia="宋体"/>
          <w:b w:val="0"/>
          <w:sz w:val="21"/>
        </w:rPr>
        <w:t xml:space="preserve">面向无人机遥感监测任务中广域飞行时的多网络切换需求，本文研究了基于LSTM-Attention的自适应垂直切换方法LAAVHA。该方法以无人机遥感巡航为应用场景，围绕"如何在5G/LTE/WiFi异构网络中保障图像回传与飞控指令的连续传输"这一核心问题，构建了"时序预测+动态权重+改进TOPSIS+双重滞后"的四层决策架构。具体而言：堆叠LSTM（5→128→64→5）对三个候选网络的五项指标进行短期预测，使决策从被动响应转为主动预判；自注意力机制（embed_dim=5, num_heads=1）融合当前网络状态与无人机移动特征（速度、高度），根据飞行阶段（巡航/图像回传）自适应生成5维动态属性权重；以融合系数α=0.6构建当前-预测融合决策矩阵，通过标准TOPSIS流程（向量归一化→动态加权→理想解→贴近度）完成候选网络排序；双重滞后机制（贴近度阈值Δ_th=0.05 + 连续T=3周期确认）有效抑制信道瞬时波动引发的乒乓切换。</w:t>
      </w:r>
    </w:p>
    <w:p>
      <w:pPr>
        <w:ind w:firstLine="420"/>
        <w:jc w:val="both"/>
      </w:pPr>
      <w:r>
        <w:rPr>
          <w:rFonts w:ascii="Times New Roman" w:hAnsi="Times New Roman" w:eastAsia="宋体"/>
          <w:b w:val="0"/>
          <w:sz w:val="21"/>
        </w:rPr>
        <w:t xml:space="preserve">基于ns-3.45与ns3-ai搭建的决策级协同仿真平台，在2000 m×2000 m任务区域、20 m/s巡航速度、位置扰动30 m及高度扰动10 m条件下，完成了9种算法各20组随机种子（共180次独立运行）的系统性对比实验。结果表明：LAAVHA在全部20组实验中均保持0次切换，在所有算法中表现最优；TOPSIS-Q为3.9次，GRA为19.6次，VIKOR为13.6次，COPRAS为25.6次，SPOTIS为23.1次，最强信号法为1.7次——LAAVHA的零切换性能源自LSTM预测的前瞻引导、Attention动态权重的飞行阶段适配与双重滞后的乒乓抑制三者的协同作用。消融实验进一步验证了各模块的独立贡献：移除LSTM预测模块后（LAAVHA-L），平均切换次数升至0.5次（标准差0.89）；移除Attention动态权重后（LAAVHA-A），升至2.0次（标准差0.00），两者均显著高于完整LAAVHA的0次，确认了两个模块在决策稳定性中的不可替代性。</w:t>
      </w:r>
    </w:p>
    <w:p>
      <w:pPr>
        <w:ind w:firstLine="420"/>
        <w:jc w:val="both"/>
      </w:pPr>
      <w:r>
        <w:rPr>
          <w:rFonts w:ascii="Times New Roman" w:hAnsi="Times New Roman" w:eastAsia="宋体"/>
          <w:b w:val="0"/>
          <w:sz w:val="21"/>
        </w:rPr>
        <w:t xml:space="preserve">在上述工作基础上，本文进一步提出了自适应滞后与风险敏感决策两项增强机制（LAAVHA-enhanced）。自适应滞后根据当前SINR波动度和飞行速度动态调节切换阈值与确认窗口（Δ_th∈[0.03, 0.08], T∈[2, 4]）；风险敏感TOPSIS通过置信下界排序（C_robust = C - λ·std(C_last5), λ=0.5）在候选网络评分接近时优先选择波动较小的网络。5G信道振荡压力测试（±15 dB SINR正弦扰动+WiFi增强）表明，自适应阈值能够在t=3 s振荡起始时从0.03自动攀升至约0.06~0.07以提升切换门槛，并在t=6 s恢复稳定后平滑回落至0.03，验证了增强机制的动态响应行为符合设计预期。增强机制的关键优势（在高波动场景下抑制乒乓、在快速退化时及时响应）需在引入真实NR协议栈和多样化信道模型后方能充分体现，其架构设计为此后的真实环境部署提供了机制级功能预留。</w:t>
      </w:r>
    </w:p>
    <w:p>
      <w:pPr>
        <w:ind w:firstLine="420"/>
        <w:jc w:val="both"/>
      </w:pPr>
      <w:r>
        <w:rPr>
          <w:rFonts w:ascii="Times New Roman" w:hAnsi="Times New Roman" w:eastAsia="宋体"/>
          <w:b w:val="0"/>
          <w:sz w:val="21"/>
        </w:rPr>
        <w:t xml:space="preserve">当前实验仍存在以下局限，也是后续工作的重点方向：（1）5G候选网络采用P2P代理链路表示，SINR/RSRP基于传播模型代理计算，与真实NR协议栈的信道建模存在差距；（2）切换事件记录为决策层网络编号变化，尚未执行协议层attach/detach过程（如LTE RRC重配置、WiFi关联/解除关联）；（3）随机性仅来源于初始位置与高度扰动，未引入多径衰落、信道竞争、业务流突发等更复杂的物理层与MAC层因素。后续将在引入真实5G NR模块的基础上，开展多场景（变速度、变高度、多航线、多机协同）下的算法适应性验证，并将自适应滞后机制与风险敏感TOPSIS在真实信道条件下进行完整的性能评估和参数调优。</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宋体">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13</Pages>
  <Words>9466</Words>
  <Characters>17823</Characters>
  <CharactersWithSpaces>19657</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2026-06-04T17:53:45Z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