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9144000" cy="240030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9144000" cy="240030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jc w:val="center"/>
        <w:spacing w:before="40" w:after="80"/>
      </w:pPr>
      <w:r>
        <w:rPr>
          <w:rFonts w:ascii="Times New Roman" w:hAnsi="Times New Roman" w:eastAsia="宋体"/>
          <w:b w:val="0"/>
          <w:sz w:val="18"/>
        </w:rPr>
        <w:t>图3 候选网络SINR趋势（LAAVHA，均值+/-标准差，n=20）</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ind w:firstLine="420"/>
        <w:jc w:val="both"/>
      </w:pPr>
      <w:r>
        <w:rPr>
          <w:rFonts w:ascii="Times New Roman" w:hAnsi="Times New Roman" w:eastAsia="宋体"/>
          <w:b w:val="0"/>
          <w:sz w:val="21"/>
        </w:rPr>
        <w:t xml:space="preserve">上述结果表明，LSTM预测模块和注意力动态权重模块对LAAVHA零切换的贡献具有显著的协同效应——单独保留任一模块均无法完全抑制乒乓切换。注意力模块的缺失对切换次数的影响更为显著（从0次增至2.0次），说明在遥感巡航场景下动态权重调节对区分不同飞行阶段的网络需求具有不可替代的作用。</w:t>
      </w:r>
    </w:p>
    <w:p>
      <w:pPr>
        <w:pStyle w:val="Normal"/>
        <w:jc w:val="center"/>
        <w:rPr/>
      </w:pPr>
      <w:r>
        <w:rPr/>
        <w:drawing>
          <wp:inline distT="0" distB="0" distL="0" distR="0">
            <wp:extent cx="51206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120640" cy="3671570"/>
                    </a:xfrm>
                    <a:prstGeom prst="rect">
                      <a:avLst/>
                    </a:prstGeom>
                  </pic:spPr>
                </pic:pic>
              </a:graphicData>
            </a:graphic>
          </wp:inline>
        </w:drawing>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180/180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0.0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 xml:space="preserve">LAAVHA: </w:t>
            </w:r>
            <w:r>
              <w:rPr>
                <w:rFonts w:ascii="Times New Roman" w:hAnsi="Times New Roman" w:eastAsia="宋体"/>
                <w:b w:val="false"/>
                <w:sz w:val="19"/>
              </w:rPr>
              <w:t>全部</w:t>
            </w:r>
            <w:r>
              <w:rPr>
                <w:rFonts w:eastAsia="宋体" w:ascii="Times New Roman" w:hAnsi="Times New Roman"/>
                <w:b w:val="false"/>
                <w:sz w:val="19"/>
              </w:rPr>
              <w:t>0</w:t>
            </w:r>
            <w:r>
              <w:rPr>
                <w:rFonts w:ascii="Times New Roman" w:hAnsi="Times New Roman" w:eastAsia="宋体"/>
                <w:b w:val="false"/>
                <w:sz w:val="19"/>
              </w:rPr>
              <w:t>次</w:t>
            </w:r>
            <w:r>
              <w:rPr>
                <w:rFonts w:eastAsia="宋体" w:ascii="Times New Roman" w:hAnsi="Times New Roman"/>
                <w:b w:val="false"/>
                <w:sz w:val="19"/>
              </w:rPr>
              <w:t>; TOPSIS-Q: 2~6</w:t>
            </w:r>
            <w:r>
              <w:rPr>
                <w:rFonts w:ascii="Times New Roman" w:hAnsi="Times New Roman" w:eastAsia="宋体"/>
                <w:b w:val="false"/>
                <w:sz w:val="19"/>
              </w:rPr>
              <w:t>次</w:t>
            </w:r>
            <w:r>
              <w:rPr>
                <w:rFonts w:eastAsia="宋体" w:ascii="Times New Roman" w:hAnsi="Times New Roman"/>
                <w:b w:val="false"/>
                <w:sz w:val="19"/>
              </w:rPr>
              <w:t>; GRA: 16~24</w:t>
            </w:r>
            <w:r>
              <w:rPr>
                <w:rFonts w:ascii="Times New Roman" w:hAnsi="Times New Roman" w:eastAsia="宋体"/>
                <w:b w:val="false"/>
                <w:sz w:val="19"/>
              </w:rPr>
              <w:t>次</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各算法均以</w:t>
            </w:r>
            <w:r>
              <w:rPr>
                <w:rFonts w:eastAsia="宋体" w:ascii="Times New Roman" w:hAnsi="Times New Roman"/>
                <w:b w:val="false"/>
                <w:sz w:val="19"/>
              </w:rPr>
              <w:t>5G</w:t>
            </w:r>
            <w:r>
              <w:rPr>
                <w:rFonts w:ascii="Times New Roman" w:hAnsi="Times New Roman" w:eastAsia="宋体"/>
                <w:b w:val="false"/>
                <w:sz w:val="19"/>
              </w:rPr>
              <w:t>为主</w:t>
            </w:r>
          </w:p>
        </w:tc>
      </w:tr>
    </w:tbl>
    <w:p>
      <w:pPr>
        <w:pStyle w:val="Normal"/>
        <w:rPr/>
      </w:pPr>
      <w:r>
        <w:rPr/>
      </w:r>
    </w:p>
    <w:p>
      <w:pPr>
        <w:pStyle w:val="Normal"/>
        <w:rPr/>
      </w:pPr>
      <w:r>
        <w:rPr/>
      </w:r>
    </w:p>
    <w:p>
      <w:pPr>
        <w:pStyle w:val="Normal"/>
        <w:ind w:firstLine="420"/>
        <w:jc w:val="both"/>
        <w:rPr/>
      </w:pPr>
      <w:r>
        <w:rPr>
          <w:rFonts w:ascii="Times New Roman" w:hAnsi="Times New Roman" w:eastAsia="宋体"/>
          <w:b w:val="false"/>
          <w:sz w:val="21"/>
        </w:rPr>
        <w:t>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次运行中保持了</w:t>
      </w:r>
      <w:r>
        <w:rPr>
          <w:rFonts w:eastAsia="宋体" w:ascii="Times New Roman" w:hAnsi="Times New Roman"/>
          <w:b w:val="false"/>
          <w:sz w:val="21"/>
        </w:rPr>
        <w:t>0</w:t>
      </w:r>
      <w:r>
        <w:rPr>
          <w:rFonts w:ascii="Times New Roman" w:hAnsi="Times New Roman" w:eastAsia="宋体"/>
          <w:b w:val="false"/>
          <w:sz w:val="21"/>
        </w:rPr>
        <w:t>次切换，表明双重滞后机制在代理网络场景下能够有效抑制全部不必要的切换触发。</w:t>
      </w:r>
      <w:r>
        <w:rPr>
          <w:rFonts w:eastAsia="宋体" w:ascii="Times New Roman" w:hAnsi="Times New Roman"/>
          <w:b w:val="false"/>
          <w:sz w:val="21"/>
        </w:rPr>
        <w:t>LAAVHA-L</w:t>
      </w:r>
      <w:r>
        <w:rPr>
          <w:rFonts w:ascii="Times New Roman" w:hAnsi="Times New Roman" w:eastAsia="宋体"/>
          <w:b w:val="false"/>
          <w:sz w:val="21"/>
        </w:rPr>
        <w:t>（移除</w:t>
      </w:r>
      <w:r>
        <w:rPr>
          <w:rFonts w:eastAsia="宋体" w:ascii="Times New Roman" w:hAnsi="Times New Roman"/>
          <w:b w:val="false"/>
          <w:sz w:val="21"/>
        </w:rPr>
        <w:t>LSTM</w:t>
      </w:r>
      <w:r>
        <w:rPr>
          <w:rFonts w:ascii="Times New Roman" w:hAnsi="Times New Roman" w:eastAsia="宋体"/>
          <w:b w:val="false"/>
          <w:sz w:val="21"/>
        </w:rPr>
        <w:t>预测模块）的平均切换次数为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次切换，说明缺少</w:t>
      </w:r>
      <w:r>
        <w:rPr>
          <w:rFonts w:eastAsia="宋体" w:ascii="Times New Roman" w:hAnsi="Times New Roman"/>
          <w:b w:val="false"/>
          <w:sz w:val="21"/>
        </w:rPr>
        <w:t>LSTM</w:t>
      </w:r>
      <w:r>
        <w:rPr>
          <w:rFonts w:ascii="Times New Roman" w:hAnsi="Times New Roman" w:eastAsia="宋体"/>
          <w:b w:val="false"/>
          <w:sz w:val="21"/>
        </w:rPr>
        <w:t>预测会导致在</w:t>
      </w:r>
      <w:r>
        <w:rPr>
          <w:rFonts w:eastAsia="宋体" w:ascii="Times New Roman" w:hAnsi="Times New Roman"/>
          <w:b w:val="false"/>
          <w:sz w:val="21"/>
        </w:rPr>
        <w:t>WiFi</w:t>
      </w:r>
      <w:r>
        <w:rPr>
          <w:rFonts w:ascii="Times New Roman" w:hAnsi="Times New Roman" w:eastAsia="宋体"/>
          <w:b w:val="false"/>
          <w:sz w:val="21"/>
        </w:rPr>
        <w:t>覆盖边缘附近的决策滞后——当无人机接近</w:t>
      </w:r>
      <w:r>
        <w:rPr>
          <w:rFonts w:eastAsia="宋体" w:ascii="Times New Roman" w:hAnsi="Times New Roman"/>
          <w:b w:val="false"/>
          <w:sz w:val="21"/>
        </w:rPr>
        <w:t>WiFi</w:t>
      </w:r>
      <w:r>
        <w:rPr>
          <w:rFonts w:ascii="Times New Roman" w:hAnsi="Times New Roman" w:eastAsia="宋体"/>
          <w:b w:val="false"/>
          <w:sz w:val="21"/>
        </w:rPr>
        <w:t>覆盖边界时，若仅依赖当前状态（无预测前瞻），评分可能在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之间出现短暂振荡，触发非必要的切换。</w:t>
      </w:r>
      <w:r>
        <w:rPr>
          <w:rFonts w:eastAsia="宋体" w:ascii="Times New Roman" w:hAnsi="Times New Roman"/>
          <w:b w:val="false"/>
          <w:sz w:val="21"/>
        </w:rPr>
        <w:t>LAAVHA-A</w:t>
      </w:r>
      <w:r>
        <w:rPr>
          <w:rFonts w:ascii="Times New Roman" w:hAnsi="Times New Roman" w:eastAsia="宋体"/>
          <w:b w:val="false"/>
          <w:sz w:val="21"/>
        </w:rPr>
        <w:t>（移除注意力动态权重，改用等权重）的平均切换次数为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），在所有</w:t>
      </w:r>
      <w:r>
        <w:rPr>
          <w:rFonts w:eastAsia="宋体" w:ascii="Times New Roman" w:hAnsi="Times New Roman"/>
          <w:b w:val="false"/>
          <w:sz w:val="21"/>
        </w:rPr>
        <w:t>20</w:t>
      </w:r>
      <w:r>
        <w:rPr>
          <w:rFonts w:ascii="Times New Roman" w:hAnsi="Times New Roman" w:eastAsia="宋体"/>
          <w:b w:val="false"/>
          <w:sz w:val="21"/>
        </w:rPr>
        <w:t>次运行中均发生了</w:t>
      </w:r>
      <w:r>
        <w:rPr>
          <w:rFonts w:eastAsia="宋体" w:ascii="Times New Roman" w:hAnsi="Times New Roman"/>
          <w:b w:val="false"/>
          <w:sz w:val="21"/>
        </w:rPr>
        <w:t>2</w:t>
      </w:r>
      <w:r>
        <w:rPr>
          <w:rFonts w:ascii="Times New Roman" w:hAnsi="Times New Roman" w:eastAsia="宋体"/>
          <w:b w:val="false"/>
          <w:sz w:val="21"/>
        </w:rPr>
        <w:t>次切换，说明固定权重无法根据遥感巡航的不同飞行阶段调整属性优先级，导致在某些决策周期（如靠近拍摄点的图像回传阶段）选择了次优网络。两组消融结果共同表明，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的零切换贡献具有显著的协同效应——单独保留任一模块均无法完全抑制乒乓切换。</w:t>
      </w:r>
    </w:p>
    &gt;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模块和协议级切换执行机制，开展不同遥感任务剖面（多航线、变高度、多机协同）下的算法适应性验证，以及信道衰落、气象条件和通信干扰等因素对遥感数据回传可靠性的影响分析。</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8254</Words>
  <Characters>16186</Characters>
  <CharactersWithSpaces>17949</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2026-06-04T11:11:57Z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