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面向无人异构网络的</w:t>
      </w:r>
      <w:r>
        <w:rPr>
          <w:rFonts w:eastAsia="黑体" w:ascii="Times New Roman" w:hAnsi="Times New Roman"/>
          <w:b/>
          <w:sz w:val="36"/>
        </w:rPr>
        <w:t>LSTM-Attention</w:t>
      </w:r>
      <w:r>
        <w:rPr>
          <w:rFonts w:ascii="Times New Roman" w:hAnsi="Times New Roman" w:eastAsia="黑体"/>
          <w:b/>
          <w:sz w:val="36"/>
        </w:rPr>
        <w:t>自适应垂直切换方法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w:t>
      </w:r>
      <w:r>
        <w:rPr>
          <w:rFonts w:eastAsia="黑体" w:ascii="Times New Roman" w:hAnsi="Times New Roman"/>
          <w:b/>
          <w:sz w:val="21"/>
        </w:rPr>
        <w:t>LAAVHA</w:t>
      </w:r>
      <w:r>
        <w:rPr>
          <w:rFonts w:ascii="Times New Roman" w:hAnsi="Times New Roman" w:eastAsia="黑体"/>
          <w:b/>
          <w:sz w:val="21"/>
        </w:rPr>
        <w:t>）。该方法利用堆叠长短期记忆网络预测候选网络短期状态变化，通过多头注意力机制动态生成属性权重，融合当前与预测状态构建改进逼近理想解排序决策矩阵，并结合双重滞后机制抑制不必要切换。基于</w:t>
      </w:r>
      <w:r>
        <w:rPr>
          <w:rFonts w:eastAsia="黑体" w:ascii="Times New Roman" w:hAnsi="Times New Roman"/>
          <w:b/>
          <w:sz w:val="21"/>
        </w:rPr>
        <w:t>ns-3</w:t>
      </w:r>
      <w:r>
        <w:rPr>
          <w:rFonts w:ascii="Times New Roman" w:hAnsi="Times New Roman" w:eastAsia="黑体"/>
          <w:b/>
          <w:sz w:val="21"/>
        </w:rPr>
        <w:t>与</w:t>
      </w:r>
      <w:r>
        <w:rPr>
          <w:rFonts w:eastAsia="黑体" w:ascii="Times New Roman" w:hAnsi="Times New Roman"/>
          <w:b/>
          <w:sz w:val="21"/>
        </w:rPr>
        <w:t>ns3-ai</w:t>
      </w:r>
      <w:r>
        <w:rPr>
          <w:rFonts w:ascii="Times New Roman" w:hAnsi="Times New Roman" w:eastAsia="黑体"/>
          <w:b/>
          <w:sz w:val="21"/>
        </w:rPr>
        <w:t>搭建决策级实验平台，完成</w:t>
      </w:r>
      <w:r>
        <w:rPr>
          <w:rFonts w:eastAsia="黑体" w:ascii="Times New Roman" w:hAnsi="Times New Roman"/>
          <w:b/>
          <w:sz w:val="21"/>
        </w:rPr>
        <w:t>20</w:t>
      </w:r>
      <w:r>
        <w:rPr>
          <w:rFonts w:ascii="Times New Roman" w:hAnsi="Times New Roman" w:eastAsia="黑体"/>
          <w:b/>
          <w:sz w:val="21"/>
        </w:rPr>
        <w:t>组随机种子推理实验。结果表明，该方法在代理异构网络场景下形成稳定的候选网络评分与切换决策，平均切换次数为</w:t>
      </w:r>
      <w:r>
        <w:rPr>
          <w:rFonts w:eastAsia="黑体" w:ascii="Times New Roman" w:hAnsi="Times New Roman"/>
          <w:b/>
          <w:sz w:val="21"/>
        </w:rPr>
        <w:t>0</w:t>
      </w:r>
      <w:r>
        <w:rPr>
          <w:rFonts w:ascii="Times New Roman" w:hAnsi="Times New Roman" w:eastAsia="黑体"/>
          <w:b/>
          <w:sz w:val="21"/>
        </w:rPr>
        <w:t>次（在</w:t>
      </w:r>
      <w:r>
        <w:rPr>
          <w:rFonts w:eastAsia="黑体" w:ascii="Times New Roman" w:hAnsi="Times New Roman"/>
          <w:b/>
          <w:sz w:val="21"/>
        </w:rPr>
        <w:t>20</w:t>
      </w:r>
      <w:r>
        <w:rPr>
          <w:rFonts w:ascii="Times New Roman" w:hAnsi="Times New Roman" w:eastAsia="黑体"/>
          <w:b/>
          <w:sz w:val="21"/>
        </w:rPr>
        <w:t>组随机种子中均未发生切换）。与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VIKOR</w:t>
      </w:r>
      <w:r>
        <w:rPr>
          <w:rFonts w:ascii="Times New Roman" w:hAnsi="Times New Roman" w:eastAsia="黑体"/>
          <w:b/>
          <w:sz w:val="21"/>
        </w:rPr>
        <w:t>、</w:t>
      </w:r>
      <w:r>
        <w:rPr>
          <w:rFonts w:eastAsia="黑体" w:ascii="Times New Roman" w:hAnsi="Times New Roman"/>
          <w:b/>
          <w:sz w:val="21"/>
        </w:rPr>
        <w:t>GRA</w:t>
      </w:r>
      <w:r>
        <w:rPr>
          <w:rFonts w:ascii="Times New Roman" w:hAnsi="Times New Roman" w:eastAsia="黑体"/>
          <w:b/>
          <w:sz w:val="21"/>
        </w:rPr>
        <w:t>、</w:t>
      </w:r>
      <w:r>
        <w:rPr>
          <w:rFonts w:eastAsia="黑体" w:ascii="Times New Roman" w:hAnsi="Times New Roman"/>
          <w:b/>
          <w:sz w:val="21"/>
        </w:rPr>
        <w:t>COPRAS</w:t>
      </w:r>
      <w:r>
        <w:rPr>
          <w:rFonts w:ascii="Times New Roman" w:hAnsi="Times New Roman" w:eastAsia="黑体"/>
          <w:b/>
          <w:sz w:val="21"/>
        </w:rPr>
        <w:t>、</w:t>
      </w:r>
      <w:r>
        <w:rPr>
          <w:rFonts w:eastAsia="黑体" w:ascii="Times New Roman" w:hAnsi="Times New Roman"/>
          <w:b/>
          <w:sz w:val="21"/>
        </w:rPr>
        <w:t>SPOTIS</w:t>
      </w:r>
      <w:r>
        <w:rPr>
          <w:rFonts w:ascii="Times New Roman" w:hAnsi="Times New Roman" w:eastAsia="黑体"/>
          <w:b/>
          <w:sz w:val="21"/>
        </w:rPr>
        <w:t>及最强信号法等</w:t>
      </w:r>
      <w:r>
        <w:rPr>
          <w:rFonts w:eastAsia="黑体" w:ascii="Times New Roman" w:hAnsi="Times New Roman"/>
          <w:b/>
          <w:sz w:val="21"/>
        </w:rPr>
        <w:t>6</w:t>
      </w:r>
      <w:r>
        <w:rPr>
          <w:rFonts w:ascii="Times New Roman" w:hAnsi="Times New Roman" w:eastAsia="黑体"/>
          <w:b/>
          <w:sz w:val="21"/>
        </w:rPr>
        <w:t>种对比算法的横向对比以及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消融实验共同表明，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w:t>
      </w:r>
      <w:r>
        <w:rPr>
          <w:rFonts w:eastAsia="黑体" w:ascii="Times New Roman" w:hAnsi="Times New Roman"/>
          <w:b/>
          <w:sz w:val="21"/>
        </w:rPr>
        <w:t>LSTM</w:t>
      </w:r>
      <w:r>
        <w:rPr>
          <w:rFonts w:ascii="Times New Roman" w:hAnsi="Times New Roman" w:eastAsia="黑体"/>
          <w:b/>
          <w:sz w:val="21"/>
        </w:rPr>
        <w:t>预测、注意力权重和双重滞后机制对决策质量的协同贡献。</w:t>
      </w:r>
    </w:p>
    <w:p>
      <w:pPr>
        <w:pStyle w:val="Normal"/>
        <w:rPr/>
      </w:pPr>
      <w:r>
        <w:rPr>
          <w:rFonts w:ascii="Times New Roman" w:hAnsi="Times New Roman" w:eastAsia="黑体"/>
          <w:b/>
          <w:sz w:val="21"/>
        </w:rPr>
        <w:t>关键词：</w:t>
      </w:r>
      <w:r>
        <w:rPr>
          <w:rFonts w:ascii="Times New Roman" w:hAnsi="Times New Roman" w:eastAsia="宋体"/>
          <w:b w:val="false"/>
          <w:sz w:val="21"/>
        </w:rPr>
        <w:t>无人异构网络；垂直切换；长短期记忆网络；注意力机制；逼近理想解排序法；</w:t>
      </w:r>
      <w:r>
        <w:rPr>
          <w:rFonts w:eastAsia="宋体" w:ascii="Times New Roman" w:hAnsi="Times New Roman"/>
          <w:b w:val="false"/>
          <w:sz w:val="21"/>
        </w:rPr>
        <w:t>ns-3</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LSTM-attention based adaptive vertical handover method for unmanned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pPr>
        <w:pStyle w:val="Normal"/>
        <w:rPr/>
      </w:pPr>
      <w:r>
        <w:rPr>
          <w:rFonts w:eastAsia="Times New Roman" w:ascii="Times New Roman" w:hAnsi="Times New Roman"/>
          <w:b/>
          <w:sz w:val="21"/>
        </w:rPr>
        <w:t xml:space="preserve">Key words: </w:t>
      </w:r>
      <w:r>
        <w:rPr>
          <w:rFonts w:eastAsia="Times New Roman" w:ascii="Times New Roman" w:hAnsi="Times New Roman"/>
          <w:b w:val="false"/>
          <w:sz w:val="21"/>
        </w:rPr>
        <w:t>unmanned heterogeneous network, vertical handover, long short-term memory, attention mechanism, technique for order preference by similarity to ideal solution, ns-3</w:t>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）遥感监测系统正广泛应用于灾害评估、农业普查和环境监测等大范围对地观测场景。在此类任务中，单架无人机巡航半径通常达数公里，飞行高度为</w:t>
      </w:r>
      <w:r>
        <w:rPr>
          <w:rFonts w:eastAsia="宋体" w:ascii="Times New Roman" w:hAnsi="Times New Roman"/>
          <w:b w:val="false"/>
          <w:sz w:val="21"/>
        </w:rPr>
        <w:t>50~150 m</w:t>
      </w:r>
      <w:r>
        <w:rPr>
          <w:rFonts w:ascii="Times New Roman" w:hAnsi="Times New Roman" w:eastAsia="宋体"/>
          <w:b w:val="false"/>
          <w:sz w:val="21"/>
        </w:rPr>
        <w:t>，需定期拍摄高分辨率遥感图像（单张可达数</w:t>
      </w:r>
      <w:r>
        <w:rPr>
          <w:rFonts w:eastAsia="宋体" w:ascii="Times New Roman" w:hAnsi="Times New Roman"/>
          <w:b w:val="false"/>
          <w:sz w:val="21"/>
        </w:rPr>
        <w:t>MB</w:t>
      </w:r>
      <w:r>
        <w:rPr>
          <w:rFonts w:ascii="Times New Roman" w:hAnsi="Times New Roman" w:eastAsia="宋体"/>
          <w:b w:val="false"/>
          <w:sz w:val="21"/>
        </w:rPr>
        <w:t>）并通过无线链路回传至地面站，同时接收飞行控制指令。由于单一无线网络难以在如此大范围内提供无缝覆盖——</w:t>
      </w:r>
      <w:r>
        <w:rPr>
          <w:rFonts w:eastAsia="宋体" w:ascii="Times New Roman" w:hAnsi="Times New Roman"/>
          <w:b w:val="false"/>
          <w:sz w:val="21"/>
        </w:rPr>
        <w:t>WiFi</w:t>
      </w:r>
      <w:r>
        <w:rPr>
          <w:rFonts w:ascii="Times New Roman" w:hAnsi="Times New Roman" w:eastAsia="宋体"/>
          <w:b w:val="false"/>
          <w:sz w:val="21"/>
        </w:rPr>
        <w:t>热点覆盖半径通常不超过</w:t>
      </w:r>
      <w:r>
        <w:rPr>
          <w:rFonts w:eastAsia="宋体" w:ascii="Times New Roman" w:hAnsi="Times New Roman"/>
          <w:b w:val="false"/>
          <w:sz w:val="21"/>
        </w:rPr>
        <w:t>200 m</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基站在郊区部署稀疏，</w:t>
      </w:r>
      <w:r>
        <w:rPr>
          <w:rFonts w:eastAsia="宋体" w:ascii="Times New Roman" w:hAnsi="Times New Roman"/>
          <w:b w:val="false"/>
          <w:sz w:val="21"/>
        </w:rPr>
        <w:t>5G</w:t>
      </w:r>
      <w:r>
        <w:rPr>
          <w:rFonts w:ascii="Times New Roman" w:hAnsi="Times New Roman" w:eastAsia="宋体"/>
          <w:b w:val="false"/>
          <w:sz w:val="21"/>
        </w:rPr>
        <w:t>网络覆盖尚不完善——无人机在执行一次完整的遥感巡航任务中必然穿越多个网络的覆盖边界</w:t>
      </w:r>
      <w:r>
        <w:rPr>
          <w:rFonts w:eastAsia="宋体" w:ascii="Times New Roman" w:hAnsi="Times New Roman"/>
          <w:b w:val="false"/>
          <w:sz w:val="21"/>
          <w:vertAlign w:val="superscript"/>
        </w:rPr>
        <w:t>[1-2]</w:t>
      </w:r>
      <w:r>
        <w:rPr>
          <w:rFonts w:ascii="Times New Roman" w:hAnsi="Times New Roman" w:eastAsia="宋体"/>
          <w:b w:val="false"/>
          <w:sz w:val="21"/>
        </w:rPr>
        <w:t>。因此，无人节点需要在第五代移动通信（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）等多种无线接入网络之间按需切换，以保障遥感图像回传和指挥控制链路的连续性</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），从而避免图像传输中断、控制指令超时或遥感数据缺失</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，已被应用于网络状态预测和切换判决</w:t>
      </w:r>
      <w:r>
        <w:rPr>
          <w:rFonts w:eastAsia="宋体" w:ascii="Times New Roman" w:hAnsi="Times New Roman"/>
          <w:b w:val="false"/>
          <w:sz w:val="21"/>
          <w:vertAlign w:val="superscript"/>
        </w:rPr>
        <w:t>[16-17]</w:t>
      </w:r>
      <w:r>
        <w:rPr>
          <w:rFonts w:ascii="Times New Roman" w:hAnsi="Times New Roman" w:eastAsia="宋体"/>
          <w:b w:val="false"/>
          <w:sz w:val="21"/>
        </w:rPr>
        <w:t>。注意力机制（</w:t>
      </w:r>
      <w:r>
        <w:rPr>
          <w:rFonts w:eastAsia="宋体" w:ascii="Times New Roman" w:hAnsi="Times New Roman"/>
          <w:b w:val="false"/>
          <w:sz w:val="21"/>
        </w:rPr>
        <w:t>attention mechanism</w:t>
      </w:r>
      <w:r>
        <w:rPr>
          <w:rFonts w:ascii="Times New Roman" w:hAnsi="Times New Roman" w:eastAsia="宋体"/>
          <w:b w:val="false"/>
          <w:sz w:val="21"/>
        </w:rPr>
        <w:t>）能够自适应分配不同特征的权重</w:t>
      </w:r>
      <w:r>
        <w:rPr>
          <w:rFonts w:eastAsia="宋体" w:ascii="Times New Roman" w:hAnsi="Times New Roman"/>
          <w:b w:val="false"/>
          <w:sz w:val="21"/>
          <w:vertAlign w:val="superscript"/>
        </w:rPr>
        <w:t>[18,29]</w:t>
      </w:r>
      <w:r>
        <w:rPr>
          <w:rFonts w:ascii="Times New Roman" w:hAnsi="Times New Roman" w:eastAsia="宋体"/>
          <w:b w:val="false"/>
          <w:sz w:val="21"/>
        </w:rPr>
        <w:t>，为动态场景下的多属性决策提供了新思路。网络仿真工具</w:t>
      </w:r>
      <w:r>
        <w:rPr>
          <w:rFonts w:eastAsia="宋体" w:ascii="Times New Roman" w:hAnsi="Times New Roman"/>
          <w:b w:val="false"/>
          <w:sz w:val="21"/>
        </w:rPr>
        <w:t>ns-3</w:t>
      </w:r>
      <w:r>
        <w:rPr>
          <w:rFonts w:ascii="Times New Roman" w:hAnsi="Times New Roman" w:eastAsia="宋体"/>
          <w:b w:val="false"/>
          <w:sz w:val="21"/>
        </w:rPr>
        <w:t>及其人工智能（</w:t>
      </w:r>
      <w:r>
        <w:rPr>
          <w:rFonts w:eastAsia="宋体" w:ascii="Times New Roman" w:hAnsi="Times New Roman"/>
          <w:b w:val="false"/>
          <w:sz w:val="21"/>
        </w:rPr>
        <w:t>AI, artificial intelligence</w:t>
      </w:r>
      <w:r>
        <w:rPr>
          <w:rFonts w:ascii="Times New Roman" w:hAnsi="Times New Roman" w:eastAsia="宋体"/>
          <w:b w:val="false"/>
          <w:sz w:val="21"/>
        </w:rPr>
        <w:t>）扩展模块</w:t>
      </w:r>
      <w:r>
        <w:rPr>
          <w:rFonts w:eastAsia="宋体" w:ascii="Times New Roman" w:hAnsi="Times New Roman"/>
          <w:b w:val="false"/>
          <w:sz w:val="21"/>
        </w:rPr>
        <w:t>ns3-ai</w:t>
      </w:r>
      <w:r>
        <w:rPr>
          <w:rFonts w:ascii="Times New Roman" w:hAnsi="Times New Roman" w:eastAsia="宋体"/>
          <w:b w:val="false"/>
          <w:sz w:val="21"/>
        </w:rPr>
        <w:t>为网络协议研究提供了灵活的实验平台</w:t>
      </w:r>
      <w:r>
        <w:rPr>
          <w:rFonts w:eastAsia="宋体" w:ascii="Times New Roman" w:hAnsi="Times New Roman"/>
          <w:b w:val="false"/>
          <w:sz w:val="21"/>
          <w:vertAlign w:val="superscript"/>
        </w:rPr>
        <w:t>[19-20]</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为兼顾遥感数据传输的预测性、实时性和可解释性需求，研究了基于</w:t>
      </w:r>
      <w:r>
        <w:rPr>
          <w:rFonts w:eastAsia="宋体" w:ascii="Times New Roman" w:hAnsi="Times New Roman"/>
          <w:b w:val="false"/>
          <w:sz w:val="21"/>
        </w:rPr>
        <w:t>LSTM</w:t>
      </w:r>
      <w:r>
        <w:rPr>
          <w:rFonts w:ascii="Times New Roman" w:hAnsi="Times New Roman" w:eastAsia="宋体"/>
          <w:b w:val="false"/>
          <w:sz w:val="21"/>
        </w:rPr>
        <w:t>和注意力机制的自适应垂直切换算法</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LSTM-attention based adaptive vertical handover algorithm</w:t>
      </w:r>
      <w:r>
        <w:rPr>
          <w:rFonts w:ascii="Times New Roman" w:hAnsi="Times New Roman" w:eastAsia="宋体"/>
          <w:b w:val="false"/>
          <w:sz w:val="21"/>
        </w:rPr>
        <w:t>）。该算法利用</w:t>
      </w:r>
      <w:r>
        <w:rPr>
          <w:rFonts w:eastAsia="宋体" w:ascii="Times New Roman" w:hAnsi="Times New Roman"/>
          <w:b w:val="false"/>
          <w:sz w:val="21"/>
        </w:rPr>
        <w:t>LSTM</w:t>
      </w:r>
      <w:r>
        <w:rPr>
          <w:rFonts w:ascii="Times New Roman" w:hAnsi="Times New Roman" w:eastAsia="宋体"/>
          <w:b w:val="false"/>
          <w:sz w:val="21"/>
        </w:rPr>
        <w:t>捕获网络状态时间序列变化趋势，通过注意力机制根据飞行阶段生成动态属性权重，并结合改进</w:t>
      </w:r>
      <w:r>
        <w:rPr>
          <w:rFonts w:eastAsia="宋体" w:ascii="Times New Roman" w:hAnsi="Times New Roman"/>
          <w:b w:val="false"/>
          <w:sz w:val="21"/>
        </w:rPr>
        <w:t>TOPSIS</w:t>
      </w:r>
      <w:r>
        <w:rPr>
          <w:rFonts w:ascii="Times New Roman" w:hAnsi="Times New Roman" w:eastAsia="宋体"/>
          <w:b w:val="false"/>
          <w:sz w:val="21"/>
        </w:rPr>
        <w:t>完成候选网络排序。与仅依据当前状态的被动式切换相比，该方法能够在无人机飞入网络覆盖薄弱区域前进行前瞻性切换，避免遥感图像回传中断；与固定权重的多属性决策相比，该方法能够根据飞行阶段（巡航</w:t>
      </w:r>
      <w:r>
        <w:rPr>
          <w:rFonts w:eastAsia="宋体" w:ascii="Times New Roman" w:hAnsi="Times New Roman"/>
          <w:b w:val="false"/>
          <w:sz w:val="21"/>
        </w:rPr>
        <w:t>/</w:t>
      </w:r>
      <w:r>
        <w:rPr>
          <w:rFonts w:ascii="Times New Roman" w:hAnsi="Times New Roman" w:eastAsia="宋体"/>
          <w:b w:val="false"/>
          <w:sz w:val="21"/>
        </w:rPr>
        <w:t>拍摄回传）和移动状态自适应调整各网络属性的重要性，在保持飞控链路稳定的同时保障图像数据的可靠传输。</w:t>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rFonts w:eastAsia="宋体" w:ascii="Times New Roman" w:hAnsi="Times New Roman"/>
          <w:b w:val="false"/>
          <w:sz w:val="21"/>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rFonts w:eastAsia="宋体" w:ascii="Times New Roman" w:hAnsi="Times New Roman"/>
          <w:b w:val="false"/>
          <w:sz w:val="21"/>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rPr/>
      </w:pPr>
      <w:r>
        <w:rPr/>
      </w:r>
    </w:p>
    <w:p>
      <w:pPr>
        <w:pStyle w:val="Normal"/>
        <w:rPr/>
      </w:pPr>
      <w:r>
        <w:rP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w:t>
      </w:r>
    </w:p>
    <w:p>
      <w:pPr>
        <w:pStyle w:val="Normal"/>
        <w:ind w:firstLine="420"/>
        <w:jc w:val="both"/>
        <w:rPr/>
      </w:pPr>
      <w:r>
        <w:rPr>
          <w:rFonts w:ascii="Times New Roman" w:hAnsi="Times New Roman" w:eastAsia="宋体"/>
          <w:b w:val="false"/>
          <w:sz w:val="21"/>
        </w:rPr>
        <w:t>实验除</w:t>
      </w:r>
      <w:r>
        <w:rPr>
          <w:rFonts w:eastAsia="宋体" w:ascii="Times New Roman" w:hAnsi="Times New Roman"/>
          <w:b w:val="false"/>
          <w:sz w:val="21"/>
        </w:rPr>
        <w:t>LAAVHA</w:t>
      </w:r>
      <w:r>
        <w:rPr>
          <w:rFonts w:ascii="Times New Roman" w:hAnsi="Times New Roman" w:eastAsia="宋体"/>
          <w:b w:val="false"/>
          <w:sz w:val="21"/>
        </w:rPr>
        <w:t>外，还运行了</w:t>
      </w:r>
      <w:r>
        <w:rPr>
          <w:rFonts w:eastAsia="宋体" w:ascii="Times New Roman" w:hAnsi="Times New Roman"/>
          <w:b w:val="false"/>
          <w:sz w:val="21"/>
        </w:rPr>
        <w:t>TOPSIS-Q</w:t>
      </w:r>
      <w:r>
        <w:rPr>
          <w:rFonts w:ascii="Times New Roman" w:hAnsi="Times New Roman" w:eastAsia="宋体"/>
          <w:b w:val="false"/>
          <w:sz w:val="21"/>
        </w:rPr>
        <w:t>、</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GRA</w:t>
      </w:r>
      <w:r>
        <w:rPr>
          <w:rFonts w:ascii="Times New Roman" w:hAnsi="Times New Roman" w:eastAsia="宋体"/>
          <w:b w:val="false"/>
          <w:sz w:val="21"/>
        </w:rPr>
        <w:t>、</w:t>
      </w:r>
      <w:r>
        <w:rPr>
          <w:rFonts w:eastAsia="宋体" w:ascii="Times New Roman" w:hAnsi="Times New Roman"/>
          <w:b w:val="false"/>
          <w:sz w:val="21"/>
        </w:rPr>
        <w:t>COPRAS</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和最强信号法等</w:t>
      </w:r>
      <w:r>
        <w:rPr>
          <w:rFonts w:eastAsia="宋体" w:ascii="Times New Roman" w:hAnsi="Times New Roman"/>
          <w:b w:val="false"/>
          <w:sz w:val="21"/>
        </w:rPr>
        <w:t>6</w:t>
      </w:r>
      <w:r>
        <w:rPr>
          <w:rFonts w:ascii="Times New Roman" w:hAnsi="Times New Roman" w:eastAsia="宋体"/>
          <w:b w:val="false"/>
          <w:sz w:val="21"/>
        </w:rPr>
        <w:t>种对比算法以及</w:t>
      </w:r>
      <w:r>
        <w:rPr>
          <w:rFonts w:eastAsia="宋体" w:ascii="Times New Roman" w:hAnsi="Times New Roman"/>
          <w:b w:val="false"/>
          <w:sz w:val="21"/>
        </w:rPr>
        <w:t>LAAVHA-L</w:t>
      </w:r>
      <w:r>
        <w:rPr>
          <w:rFonts w:ascii="Times New Roman" w:hAnsi="Times New Roman" w:eastAsia="宋体"/>
          <w:b w:val="false"/>
          <w:sz w:val="21"/>
        </w:rPr>
        <w:t>、</w:t>
      </w:r>
      <w:r>
        <w:rPr>
          <w:rFonts w:eastAsia="宋体" w:ascii="Times New Roman" w:hAnsi="Times New Roman"/>
          <w:b w:val="false"/>
          <w:sz w:val="21"/>
        </w:rPr>
        <w:t>LAAVHA-A</w:t>
      </w:r>
      <w:r>
        <w:rPr>
          <w:rFonts w:ascii="Times New Roman" w:hAnsi="Times New Roman" w:eastAsia="宋体"/>
          <w:b w:val="false"/>
          <w:sz w:val="21"/>
        </w:rPr>
        <w:t>两种消融变体。这</w:t>
      </w:r>
      <w:r>
        <w:rPr>
          <w:rFonts w:eastAsia="宋体" w:ascii="Times New Roman" w:hAnsi="Times New Roman"/>
          <w:b w:val="false"/>
          <w:sz w:val="21"/>
        </w:rPr>
        <w:t>6</w:t>
      </w:r>
      <w:r>
        <w:rPr>
          <w:rFonts w:ascii="Times New Roman" w:hAnsi="Times New Roman" w:eastAsia="宋体"/>
          <w:b w:val="false"/>
          <w:sz w:val="21"/>
        </w:rPr>
        <w:t>种对比算法覆盖了补偿式（</w:t>
      </w:r>
      <w:r>
        <w:rPr>
          <w:rFonts w:eastAsia="宋体" w:ascii="Times New Roman" w:hAnsi="Times New Roman"/>
          <w:b w:val="false"/>
          <w:sz w:val="21"/>
        </w:rPr>
        <w:t>VIKOR</w:t>
      </w:r>
      <w:r>
        <w:rPr>
          <w:rFonts w:ascii="Times New Roman" w:hAnsi="Times New Roman" w:eastAsia="宋体"/>
          <w:b w:val="false"/>
          <w:sz w:val="21"/>
        </w:rPr>
        <w:t>）、距离式（</w:t>
      </w:r>
      <w:r>
        <w:rPr>
          <w:rFonts w:eastAsia="宋体" w:ascii="Times New Roman" w:hAnsi="Times New Roman"/>
          <w:b w:val="false"/>
          <w:sz w:val="21"/>
        </w:rPr>
        <w:t>TOPSIS-Q</w:t>
      </w:r>
      <w:r>
        <w:rPr>
          <w:rFonts w:ascii="Times New Roman" w:hAnsi="Times New Roman" w:eastAsia="宋体"/>
          <w:b w:val="false"/>
          <w:sz w:val="21"/>
        </w:rPr>
        <w:t>）、关联度式（</w:t>
      </w:r>
      <w:r>
        <w:rPr>
          <w:rFonts w:eastAsia="宋体" w:ascii="Times New Roman" w:hAnsi="Times New Roman"/>
          <w:b w:val="false"/>
          <w:sz w:val="21"/>
        </w:rPr>
        <w:t>GRA</w:t>
      </w:r>
      <w:r>
        <w:rPr>
          <w:rFonts w:ascii="Times New Roman" w:hAnsi="Times New Roman" w:eastAsia="宋体"/>
          <w:b w:val="false"/>
          <w:sz w:val="21"/>
        </w:rPr>
        <w:t>）、比例式（</w:t>
      </w:r>
      <w:r>
        <w:rPr>
          <w:rFonts w:eastAsia="宋体" w:ascii="Times New Roman" w:hAnsi="Times New Roman"/>
          <w:b w:val="false"/>
          <w:sz w:val="21"/>
        </w:rPr>
        <w:t>COPRAS</w:t>
      </w:r>
      <w:r>
        <w:rPr>
          <w:rFonts w:ascii="Times New Roman" w:hAnsi="Times New Roman" w:eastAsia="宋体"/>
          <w:b w:val="false"/>
          <w:sz w:val="21"/>
        </w:rPr>
        <w:t>）和参考点式（</w:t>
      </w:r>
      <w:r>
        <w:rPr>
          <w:rFonts w:eastAsia="宋体" w:ascii="Times New Roman" w:hAnsi="Times New Roman"/>
          <w:b w:val="false"/>
          <w:sz w:val="21"/>
        </w:rPr>
        <w:t>SPOTIS</w:t>
      </w:r>
      <w:r>
        <w:rPr>
          <w:rFonts w:ascii="Times New Roman" w:hAnsi="Times New Roman" w:eastAsia="宋体"/>
          <w:b w:val="false"/>
          <w:sz w:val="21"/>
        </w:rPr>
        <w:t>）五种主流</w:t>
      </w:r>
      <w:r>
        <w:rPr>
          <w:rFonts w:eastAsia="宋体" w:ascii="Times New Roman" w:hAnsi="Times New Roman"/>
          <w:b w:val="false"/>
          <w:sz w:val="21"/>
        </w:rPr>
        <w:t>MADM</w:t>
      </w:r>
      <w:r>
        <w:rPr>
          <w:rFonts w:ascii="Times New Roman" w:hAnsi="Times New Roman" w:eastAsia="宋体"/>
          <w:b w:val="false"/>
          <w:sz w:val="21"/>
        </w:rPr>
        <w:t>决策范式，为全面评估</w:t>
      </w:r>
      <w:r>
        <w:rPr>
          <w:rFonts w:eastAsia="宋体" w:ascii="Times New Roman" w:hAnsi="Times New Roman"/>
          <w:b w:val="false"/>
          <w:sz w:val="21"/>
        </w:rPr>
        <w:t>LAAVHA</w:t>
      </w:r>
      <w:r>
        <w:rPr>
          <w:rFonts w:ascii="Times New Roman" w:hAnsi="Times New Roman" w:eastAsia="宋体"/>
          <w:b w:val="false"/>
          <w:sz w:val="21"/>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rPr/>
      </w:pPr>
      <w:r>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20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100~119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时间窗口 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LSTM隐藏单元</w:t>
            </w:r>
          </w:p>
        </w:tc>
        <w:tc>
          <w:tcPr>
            <w:tcW w:w="4761" w:type="dxa"/>
            <w:tcBorders/>
          </w:tcPr>
          <w:p>
            <w:pPr>
              <w:pStyle w:val="Normal"/>
              <w:spacing w:before="0" w:after="200"/>
              <w:jc w:val="center"/>
              <w:rPr/>
            </w:pPr>
            <w:r>
              <w:rPr>
                <w:rFonts w:ascii="宋体" w:hAnsi="宋体"/>
                <w:sz w:val="18"/>
              </w:rPr>
              <w:t>第一层128，第二层64</w:t>
            </w:r>
          </w:p>
        </w:tc>
      </w:tr>
      <w:tr>
        <w:trPr/>
        <w:tc>
          <w:tcPr>
            <w:tcW w:w="4762" w:type="dxa"/>
            <w:tcBorders/>
          </w:tcPr>
          <w:p>
            <w:pPr>
              <w:pStyle w:val="Normal"/>
              <w:spacing w:before="0" w:after="200"/>
              <w:jc w:val="center"/>
              <w:rPr/>
            </w:pPr>
            <w:r>
              <w:rPr>
                <w:rFonts w:ascii="宋体" w:hAnsi="宋体"/>
                <w:sz w:val="18"/>
              </w:rPr>
              <w:t>注意力头数（num_heads）</w:t>
            </w:r>
          </w:p>
        </w:tc>
        <w:tc>
          <w:tcPr>
            <w:tcW w:w="4761" w:type="dxa"/>
            <w:tcBorders/>
          </w:tcPr>
          <w:p>
            <w:pPr>
              <w:pStyle w:val="Normal"/>
              <w:spacing w:before="0" w:after="200"/>
              <w:jc w:val="center"/>
              <w:rPr/>
            </w:pPr>
            <w:r>
              <w:rPr>
                <w:rFonts w:ascii="宋体" w:hAnsi="宋体"/>
                <w:sz w:val="18"/>
              </w:rPr>
              <w:t>1（embed_dim=5约束）</w:t>
            </w:r>
          </w:p>
        </w:tc>
      </w:tr>
      <w:tr>
        <w:trPr/>
        <w:tc>
          <w:tcPr>
            <w:tcW w:w="4762" w:type="dxa"/>
            <w:tcBorders/>
          </w:tcPr>
          <w:p>
            <w:pPr>
              <w:pStyle w:val="Normal"/>
              <w:spacing w:before="0" w:after="200"/>
              <w:jc w:val="center"/>
              <w:rPr/>
            </w:pPr>
            <w:r>
              <w:rPr>
                <w:rFonts w:ascii="宋体" w:hAnsi="宋体"/>
                <w:sz w:val="18"/>
              </w:rPr>
              <w:t>融合系数 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训练/验证 =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验证集损失连续10个epoch不下降</w:t>
            </w:r>
          </w:p>
        </w:tc>
      </w:tr>
    </w:tbl>
    <w:p>
      <w:pPr>
        <w:pStyle w:val="Normal"/>
        <w:rPr/>
      </w:pPr>
      <w:r>
        <w:rPr/>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6</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利用固定参考边界进行稳定偏好排序；最强信号法直接选择当前</w:t>
      </w:r>
      <w:r>
        <w:rPr>
          <w:rFonts w:eastAsia="宋体" w:ascii="Times New Roman" w:hAnsi="Times New Roman"/>
          <w:b w:val="false"/>
          <w:sz w:val="21"/>
        </w:rPr>
        <w:t>SINR</w:t>
      </w:r>
      <w:r>
        <w:rPr>
          <w:rFonts w:ascii="Times New Roman" w:hAnsi="Times New Roman" w:eastAsia="宋体"/>
          <w:b w:val="false"/>
          <w:sz w:val="21"/>
        </w:rPr>
        <w:t>最大的候选网络，作为单因素基线的参考下限。图</w:t>
      </w:r>
      <w:r>
        <w:rPr>
          <w:rFonts w:eastAsia="宋体" w:ascii="Times New Roman" w:hAnsi="Times New Roman"/>
          <w:b w:val="false"/>
          <w:sz w:val="21"/>
        </w:rPr>
        <w:t>1</w:t>
      </w:r>
      <w:r>
        <w:rPr>
          <w:rFonts w:ascii="Times New Roman" w:hAnsi="Times New Roman" w:eastAsia="宋体"/>
          <w:b w:val="false"/>
          <w:sz w:val="21"/>
        </w:rPr>
        <w:t>给出了</w:t>
      </w:r>
      <w:r>
        <w:rPr>
          <w:rFonts w:eastAsia="宋体" w:ascii="Times New Roman" w:hAnsi="Times New Roman"/>
          <w:b w:val="false"/>
          <w:sz w:val="21"/>
        </w:rPr>
        <w:t>9</w:t>
      </w:r>
      <w:r>
        <w:rPr>
          <w:rFonts w:ascii="Times New Roman" w:hAnsi="Times New Roman" w:eastAsia="宋体"/>
          <w:b w:val="false"/>
          <w:sz w:val="21"/>
        </w:rPr>
        <w:t>种算法在</w:t>
      </w:r>
      <w:r>
        <w:rPr>
          <w:rFonts w:eastAsia="宋体" w:ascii="Times New Roman" w:hAnsi="Times New Roman"/>
          <w:b w:val="false"/>
          <w:sz w:val="21"/>
        </w:rPr>
        <w:t>20</w:t>
      </w:r>
      <w:r>
        <w:rPr>
          <w:rFonts w:ascii="Times New Roman" w:hAnsi="Times New Roman" w:eastAsia="宋体"/>
          <w:b w:val="false"/>
          <w:sz w:val="21"/>
        </w:rPr>
        <w:t>次独立仿真中的平均切换次数统计。</w:t>
      </w:r>
    </w:p>
    <w:p>
      <w:pPr>
        <w:pStyle w:val="Normal"/>
        <w:jc w:val="center"/>
        <w:rPr/>
      </w:pPr>
      <w:r>
        <w:rPr/>
        <w:drawing>
          <wp:inline distT="0" distB="0" distL="0" distR="0">
            <wp:extent cx="5120640" cy="310388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120640" cy="3103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1 9</w:t>
      </w:r>
      <w:r>
        <w:rPr>
          <w:rFonts w:ascii="Times New Roman" w:hAnsi="Times New Roman" w:eastAsia="宋体"/>
          <w:b w:val="false"/>
          <w:sz w:val="18"/>
        </w:rPr>
        <w:t>种算法平均切换次数对比（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为进一步分析各算法切换行为差异的原因，图</w:t>
      </w:r>
      <w:r>
        <w:rPr>
          <w:rFonts w:eastAsia="宋体" w:ascii="Times New Roman" w:hAnsi="Times New Roman"/>
          <w:b w:val="false"/>
          <w:sz w:val="21"/>
        </w:rPr>
        <w:t>2</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三种代表性算法在</w:t>
      </w:r>
      <w:r>
        <w:rPr>
          <w:rFonts w:eastAsia="宋体" w:ascii="Times New Roman" w:hAnsi="Times New Roman"/>
          <w:b w:val="false"/>
          <w:sz w:val="21"/>
        </w:rPr>
        <w:t>seed=100</w:t>
      </w:r>
      <w:r>
        <w:rPr>
          <w:rFonts w:ascii="Times New Roman" w:hAnsi="Times New Roman" w:eastAsia="宋体"/>
          <w:b w:val="false"/>
          <w:sz w:val="21"/>
        </w:rPr>
        <w:t>时对</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候选网络的评分时序变化（</w:t>
      </w:r>
      <w:r>
        <w:rPr>
          <w:rFonts w:eastAsia="宋体" w:ascii="Times New Roman" w:hAnsi="Times New Roman"/>
          <w:b w:val="false"/>
          <w:sz w:val="21"/>
        </w:rPr>
        <w:t>5G/LTE/WiFi</w:t>
      </w:r>
      <w:r>
        <w:rPr>
          <w:rFonts w:ascii="Times New Roman" w:hAnsi="Times New Roman" w:eastAsia="宋体"/>
          <w:b w:val="false"/>
          <w:sz w:val="21"/>
        </w:rPr>
        <w:t>三条评分曲线），红色竖虚线标记切换时刻。可以观察到，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评分在全过程中保持稳定高水平（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评分均低于阈值触发线，结合双重滞后机制（</w:t>
      </w:r>
      <w:r>
        <w:rPr>
          <w:rFonts w:eastAsia="宋体" w:ascii="Times New Roman" w:hAnsi="Times New Roman"/>
          <w:b w:val="false"/>
          <w:sz w:val="21"/>
        </w:rPr>
        <w:t>Delta_th=0.05, T=3</w:t>
      </w:r>
      <w:r>
        <w:rPr>
          <w:rFonts w:ascii="Times New Roman" w:hAnsi="Times New Roman" w:eastAsia="宋体"/>
          <w:b w:val="false"/>
          <w:sz w:val="21"/>
        </w:rPr>
        <w:t>）使任何候选网络均无法突破当前服务网络的贴近度阈值，因此始终保持</w:t>
      </w:r>
      <w:r>
        <w:rPr>
          <w:rFonts w:eastAsia="宋体" w:ascii="Times New Roman" w:hAnsi="Times New Roman"/>
          <w:b w:val="false"/>
          <w:sz w:val="21"/>
        </w:rPr>
        <w:t>0</w:t>
      </w:r>
      <w:r>
        <w:rPr>
          <w:rFonts w:ascii="Times New Roman" w:hAnsi="Times New Roman" w:eastAsia="宋体"/>
          <w:b w:val="false"/>
          <w:sz w:val="21"/>
        </w:rPr>
        <w:t>次切换。相比之下，</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的评分在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LTE</w:t>
      </w:r>
      <w:r>
        <w:rPr>
          <w:rFonts w:ascii="Times New Roman" w:hAnsi="Times New Roman" w:eastAsia="宋体"/>
          <w:b w:val="false"/>
          <w:sz w:val="21"/>
        </w:rPr>
        <w:t>之间出现周期性交叉振荡，当</w:t>
      </w:r>
      <w:r>
        <w:rPr>
          <w:rFonts w:eastAsia="宋体" w:ascii="Times New Roman" w:hAnsi="Times New Roman"/>
          <w:b w:val="false"/>
          <w:sz w:val="21"/>
        </w:rPr>
        <w:t>LTE</w:t>
      </w:r>
      <w:r>
        <w:rPr>
          <w:rFonts w:ascii="Times New Roman" w:hAnsi="Times New Roman" w:eastAsia="宋体"/>
          <w:b w:val="false"/>
          <w:sz w:val="21"/>
        </w:rPr>
        <w:t>评分短暂超过</w:t>
      </w:r>
      <w:r>
        <w:rPr>
          <w:rFonts w:eastAsia="宋体" w:ascii="Times New Roman" w:hAnsi="Times New Roman"/>
          <w:b w:val="false"/>
          <w:sz w:val="21"/>
        </w:rPr>
        <w:t>5G</w:t>
      </w:r>
      <w:r>
        <w:rPr>
          <w:rFonts w:ascii="Times New Roman" w:hAnsi="Times New Roman" w:eastAsia="宋体"/>
          <w:b w:val="false"/>
          <w:sz w:val="21"/>
        </w:rPr>
        <w:t>时即触发切换，但由于下一时刻评分恢复交叉导致回切，形成了</w:t>
      </w:r>
      <w:r>
        <w:rPr>
          <w:rFonts w:eastAsia="宋体" w:ascii="Times New Roman" w:hAnsi="Times New Roman"/>
          <w:b w:val="false"/>
          <w:sz w:val="21"/>
        </w:rPr>
        <w:t>"</w:t>
      </w:r>
      <w:r>
        <w:rPr>
          <w:rFonts w:ascii="Times New Roman" w:hAnsi="Times New Roman" w:eastAsia="宋体"/>
          <w:b w:val="false"/>
          <w:sz w:val="21"/>
        </w:rPr>
        <w:t>切换</w:t>
      </w:r>
      <w:r>
        <w:rPr>
          <w:rFonts w:eastAsia="宋体" w:ascii="Times New Roman" w:hAnsi="Times New Roman"/>
          <w:b w:val="false"/>
          <w:sz w:val="21"/>
        </w:rPr>
        <w:t>-</w:t>
      </w:r>
      <w:r>
        <w:rPr>
          <w:rFonts w:ascii="Times New Roman" w:hAnsi="Times New Roman" w:eastAsia="宋体"/>
          <w:b w:val="false"/>
          <w:sz w:val="21"/>
        </w:rPr>
        <w:t>回切</w:t>
      </w:r>
      <w:r>
        <w:rPr>
          <w:rFonts w:eastAsia="宋体" w:ascii="Times New Roman" w:hAnsi="Times New Roman"/>
          <w:b w:val="false"/>
          <w:sz w:val="21"/>
        </w:rPr>
        <w:t>-</w:t>
      </w:r>
      <w:r>
        <w:rPr>
          <w:rFonts w:ascii="Times New Roman" w:hAnsi="Times New Roman" w:eastAsia="宋体"/>
          <w:b w:val="false"/>
          <w:sz w:val="21"/>
        </w:rPr>
        <w:t>再切换</w:t>
      </w:r>
      <w:r>
        <w:rPr>
          <w:rFonts w:eastAsia="宋体" w:ascii="Times New Roman" w:hAnsi="Times New Roman"/>
          <w:b w:val="false"/>
          <w:sz w:val="21"/>
        </w:rPr>
        <w:t>"</w:t>
      </w:r>
      <w:r>
        <w:rPr>
          <w:rFonts w:ascii="Times New Roman" w:hAnsi="Times New Roman" w:eastAsia="宋体"/>
          <w:b w:val="false"/>
          <w:sz w:val="21"/>
        </w:rPr>
        <w:t>的乒乓模式。</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w:t>
      </w:r>
      <w:r>
        <w:rPr>
          <w:rFonts w:eastAsia="宋体" w:ascii="Times New Roman" w:hAnsi="Times New Roman"/>
          <w:b w:val="false"/>
          <w:sz w:val="21"/>
        </w:rPr>
        <w:t>COPRAS</w:t>
      </w:r>
      <w:r>
        <w:rPr>
          <w:rFonts w:ascii="Times New Roman" w:hAnsi="Times New Roman" w:eastAsia="宋体"/>
          <w:b w:val="false"/>
          <w:sz w:val="21"/>
        </w:rPr>
        <w:t>的切换次数更高（</w:t>
      </w:r>
      <w:r>
        <w:rPr>
          <w:rFonts w:eastAsia="宋体" w:ascii="Times New Roman" w:hAnsi="Times New Roman"/>
          <w:b w:val="false"/>
          <w:sz w:val="21"/>
        </w:rPr>
        <w:t>13.6~25.6</w:t>
      </w:r>
      <w:r>
        <w:rPr>
          <w:rFonts w:ascii="Times New Roman" w:hAnsi="Times New Roman" w:eastAsia="宋体"/>
          <w:b w:val="false"/>
          <w:sz w:val="21"/>
        </w:rPr>
        <w:t>次），其评分振荡幅度更大、切换频率更高，本质原因在于缺乏滞后保护机制和时序预测的前瞻引导。</w:t>
      </w:r>
    </w:p>
    <w:p>
      <w:pPr>
        <w:pStyle w:val="Normal"/>
        <w:jc w:val="center"/>
        <w:rPr/>
      </w:pPr>
      <w:r>
        <w:rPr/>
        <w:drawing>
          <wp:inline distT="0" distB="0" distL="0" distR="0">
            <wp:extent cx="9144000" cy="240030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9144000" cy="240030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LAAVHA/TOPSIS-Q/GRA</w:t>
      </w:r>
      <w:r>
        <w:rPr>
          <w:rFonts w:ascii="Times New Roman" w:hAnsi="Times New Roman" w:eastAsia="宋体"/>
          <w:b w:val="false"/>
          <w:sz w:val="18"/>
        </w:rPr>
        <w:t>候选网络评分时序对比（</w:t>
      </w:r>
      <w:r>
        <w:rPr>
          <w:rFonts w:eastAsia="宋体" w:ascii="Times New Roman" w:hAnsi="Times New Roman"/>
          <w:b w:val="false"/>
          <w:sz w:val="18"/>
        </w:rPr>
        <w:t>seed=100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候选网络评分与</w:t>
      </w:r>
      <w:r>
        <w:rPr>
          <w:rFonts w:eastAsia="黑体" w:ascii="Times New Roman" w:hAnsi="Times New Roman"/>
          <w:b/>
          <w:sz w:val="22"/>
        </w:rPr>
        <w:t>SINR</w:t>
      </w:r>
      <w:r>
        <w:rPr>
          <w:rFonts w:ascii="Times New Roman" w:hAnsi="Times New Roman" w:eastAsia="黑体"/>
          <w:b/>
          <w:sz w:val="22"/>
        </w:rPr>
        <w:t>趋势</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3</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次运行中各候选网络</w:t>
      </w:r>
      <w:r>
        <w:rPr>
          <w:rFonts w:eastAsia="宋体" w:ascii="Times New Roman" w:hAnsi="Times New Roman"/>
          <w:b w:val="false"/>
          <w:sz w:val="21"/>
        </w:rPr>
        <w:t>SINR</w:t>
      </w:r>
      <w:r>
        <w:rPr>
          <w:rFonts w:ascii="Times New Roman" w:hAnsi="Times New Roman" w:eastAsia="宋体"/>
          <w:b w:val="false"/>
          <w:sz w:val="21"/>
        </w:rPr>
        <w:t>随仿真时间变化的均值与标准差。</w:t>
      </w:r>
      <w:r>
        <w:rPr>
          <w:rFonts w:eastAsia="宋体" w:ascii="Times New Roman" w:hAnsi="Times New Roman"/>
          <w:b w:val="false"/>
          <w:sz w:val="21"/>
        </w:rPr>
        <w:t>WiFi SINR</w:t>
      </w:r>
      <w:r>
        <w:rPr>
          <w:rFonts w:ascii="Times New Roman" w:hAnsi="Times New Roman" w:eastAsia="宋体"/>
          <w:b w:val="false"/>
          <w:sz w:val="21"/>
        </w:rPr>
        <w:t>随无人机远离接入点持续衰减——从初始的</w:t>
      </w:r>
      <w:r>
        <w:rPr>
          <w:rFonts w:eastAsia="宋体" w:ascii="Times New Roman" w:hAnsi="Times New Roman"/>
          <w:b w:val="false"/>
          <w:sz w:val="21"/>
        </w:rPr>
        <w:t>60~80 dB</w:t>
      </w:r>
      <w:r>
        <w:rPr>
          <w:rFonts w:ascii="Times New Roman" w:hAnsi="Times New Roman" w:eastAsia="宋体"/>
          <w:b w:val="false"/>
          <w:sz w:val="21"/>
        </w:rPr>
        <w:t>降至</w:t>
      </w:r>
      <w:r>
        <w:rPr>
          <w:rFonts w:eastAsia="宋体" w:ascii="Times New Roman" w:hAnsi="Times New Roman"/>
          <w:b w:val="false"/>
          <w:sz w:val="21"/>
        </w:rPr>
        <w:t>10 s</w:t>
      </w:r>
      <w:r>
        <w:rPr>
          <w:rFonts w:ascii="Times New Roman" w:hAnsi="Times New Roman" w:eastAsia="宋体"/>
          <w:b w:val="false"/>
          <w:sz w:val="21"/>
        </w:rPr>
        <w:t>后的</w:t>
      </w:r>
      <w:r>
        <w:rPr>
          <w:rFonts w:eastAsia="宋体" w:ascii="Times New Roman" w:hAnsi="Times New Roman"/>
          <w:b w:val="false"/>
          <w:sz w:val="21"/>
        </w:rPr>
        <w:t>30~50 dB</w:t>
      </w:r>
      <w:r>
        <w:rPr>
          <w:rFonts w:ascii="Times New Roman" w:hAnsi="Times New Roman" w:eastAsia="宋体"/>
          <w:b w:val="false"/>
          <w:sz w:val="21"/>
        </w:rPr>
        <w:t>，验证了遥感巡航场景中</w:t>
      </w:r>
      <w:r>
        <w:rPr>
          <w:rFonts w:eastAsia="宋体" w:ascii="Times New Roman" w:hAnsi="Times New Roman"/>
          <w:b w:val="false"/>
          <w:sz w:val="21"/>
        </w:rPr>
        <w:t>WiFi</w:t>
      </w:r>
      <w:r>
        <w:rPr>
          <w:rFonts w:ascii="Times New Roman" w:hAnsi="Times New Roman" w:eastAsia="宋体"/>
          <w:b w:val="false"/>
          <w:sz w:val="21"/>
        </w:rPr>
        <w:t>覆盖随飞行距离退化的核心假设；</w:t>
      </w:r>
      <w:r>
        <w:rPr>
          <w:rFonts w:eastAsia="宋体" w:ascii="Times New Roman" w:hAnsi="Times New Roman"/>
          <w:b w:val="false"/>
          <w:sz w:val="21"/>
        </w:rPr>
        <w:t>LTE SINR</w:t>
      </w:r>
      <w:r>
        <w:rPr>
          <w:rFonts w:ascii="Times New Roman" w:hAnsi="Times New Roman" w:eastAsia="宋体"/>
          <w:b w:val="false"/>
          <w:sz w:val="21"/>
        </w:rPr>
        <w:t>在整个飞行过程中保持相对平稳；</w:t>
      </w:r>
      <w:r>
        <w:rPr>
          <w:rFonts w:eastAsia="宋体" w:ascii="Times New Roman" w:hAnsi="Times New Roman"/>
          <w:b w:val="false"/>
          <w:sz w:val="21"/>
        </w:rPr>
        <w:t>5G</w:t>
      </w:r>
      <w:r>
        <w:rPr>
          <w:rFonts w:ascii="Times New Roman" w:hAnsi="Times New Roman" w:eastAsia="宋体"/>
          <w:b w:val="false"/>
          <w:sz w:val="21"/>
        </w:rPr>
        <w:t>代理链路</w:t>
      </w:r>
      <w:r>
        <w:rPr>
          <w:rFonts w:eastAsia="宋体" w:ascii="Times New Roman" w:hAnsi="Times New Roman"/>
          <w:b w:val="false"/>
          <w:sz w:val="21"/>
        </w:rPr>
        <w:t>SINR</w:t>
      </w:r>
      <w:r>
        <w:rPr>
          <w:rFonts w:ascii="Times New Roman" w:hAnsi="Times New Roman" w:eastAsia="宋体"/>
          <w:b w:val="false"/>
          <w:sz w:val="21"/>
        </w:rPr>
        <w:t>受假设</w:t>
      </w:r>
      <w:r>
        <w:rPr>
          <w:rFonts w:eastAsia="宋体" w:ascii="Times New Roman" w:hAnsi="Times New Roman"/>
          <w:b w:val="false"/>
          <w:sz w:val="21"/>
        </w:rPr>
        <w:t>gNB</w:t>
      </w:r>
      <w:r>
        <w:rPr>
          <w:rFonts w:ascii="Times New Roman" w:hAnsi="Times New Roman" w:eastAsia="宋体"/>
          <w:b w:val="false"/>
          <w:sz w:val="21"/>
        </w:rPr>
        <w:t>位置和传播模型共同决定。</w:t>
      </w:r>
      <w:r>
        <w:rPr>
          <w:rFonts w:eastAsia="宋体" w:ascii="Times New Roman" w:hAnsi="Times New Roman"/>
          <w:b w:val="false"/>
          <w:sz w:val="21"/>
        </w:rPr>
        <w:t>SINR</w:t>
      </w:r>
      <w:r>
        <w:rPr>
          <w:rFonts w:ascii="Times New Roman" w:hAnsi="Times New Roman" w:eastAsia="宋体"/>
          <w:b w:val="false"/>
          <w:sz w:val="21"/>
        </w:rPr>
        <w:t>变化趋势与候选网络评分趋势基本一致，但</w:t>
      </w:r>
      <w:r>
        <w:rPr>
          <w:rFonts w:eastAsia="宋体" w:ascii="Times New Roman" w:hAnsi="Times New Roman"/>
          <w:b w:val="false"/>
          <w:sz w:val="21"/>
        </w:rPr>
        <w:t>LAAVHA</w:t>
      </w:r>
      <w:r>
        <w:rPr>
          <w:rFonts w:ascii="Times New Roman" w:hAnsi="Times New Roman" w:eastAsia="宋体"/>
          <w:b w:val="false"/>
          <w:sz w:val="21"/>
        </w:rPr>
        <w:t>的最终网络选择并非由单一</w:t>
      </w:r>
      <w:r>
        <w:rPr>
          <w:rFonts w:eastAsia="宋体" w:ascii="Times New Roman" w:hAnsi="Times New Roman"/>
          <w:b w:val="false"/>
          <w:sz w:val="21"/>
        </w:rPr>
        <w:t>SINR</w:t>
      </w:r>
      <w:r>
        <w:rPr>
          <w:rFonts w:ascii="Times New Roman" w:hAnsi="Times New Roman" w:eastAsia="宋体"/>
          <w:b w:val="false"/>
          <w:sz w:val="21"/>
        </w:rPr>
        <w:t>指标决定——即使</w:t>
      </w:r>
      <w:r>
        <w:rPr>
          <w:rFonts w:eastAsia="宋体" w:ascii="Times New Roman" w:hAnsi="Times New Roman"/>
          <w:b w:val="false"/>
          <w:sz w:val="21"/>
        </w:rPr>
        <w:t>5G SINR</w:t>
      </w:r>
      <w:r>
        <w:rPr>
          <w:rFonts w:ascii="Times New Roman" w:hAnsi="Times New Roman" w:eastAsia="宋体"/>
          <w:b w:val="false"/>
          <w:sz w:val="21"/>
        </w:rPr>
        <w:t>数值较高，在综合评估时延、吞吐量和丢包率后，模型仍倾向于选择综合表现更优的网络，体现了多属性融合评价对遥感任务综合需求的匹配能力。</w:t>
      </w:r>
    </w:p>
    <w:p>
      <w:pPr>
        <w:pStyle w:val="Normal"/>
        <w:jc w:val="center"/>
        <w:rPr/>
      </w:pPr>
      <w:r>
        <w:rPr/>
        <w:drawing>
          <wp:inline distT="0" distB="0" distL="0" distR="0">
            <wp:extent cx="5120640" cy="3123565"/>
            <wp:effectExtent l="0" t="0" r="0" b="0"/>
            <wp:docPr id="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
                    <pic:cNvPicPr>
                      <a:picLocks noChangeAspect="1" noChangeArrowheads="1"/>
                    </pic:cNvPicPr>
                  </pic:nvPicPr>
                  <pic:blipFill>
                    <a:blip r:embed="rId4"/>
                    <a:stretch>
                      <a:fillRect/>
                    </a:stretch>
                  </pic:blipFill>
                  <pic:spPr bwMode="auto">
                    <a:xfrm>
                      <a:off x="0" y="0"/>
                      <a:ext cx="5120640" cy="312356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3 </w:t>
      </w:r>
      <w:r>
        <w:rPr>
          <w:rFonts w:ascii="Times New Roman" w:hAnsi="Times New Roman" w:eastAsia="宋体"/>
          <w:b w:val="false"/>
          <w:sz w:val="18"/>
        </w:rPr>
        <w:t>候选网络</w:t>
      </w:r>
      <w:r>
        <w:rPr>
          <w:rFonts w:eastAsia="宋体" w:ascii="Times New Roman" w:hAnsi="Times New Roman"/>
          <w:b w:val="false"/>
          <w:sz w:val="18"/>
        </w:rPr>
        <w:t>SINR</w:t>
      </w:r>
      <w:r>
        <w:rPr>
          <w:rFonts w:ascii="Times New Roman" w:hAnsi="Times New Roman" w:eastAsia="宋体"/>
          <w:b w:val="false"/>
          <w:sz w:val="18"/>
        </w:rPr>
        <w:t>趋势（</w:t>
      </w:r>
      <w:r>
        <w:rPr>
          <w:rFonts w:eastAsia="宋体" w:ascii="Times New Roman" w:hAnsi="Times New Roman"/>
          <w:b w:val="false"/>
          <w:sz w:val="18"/>
        </w:rPr>
        <w:t>LAAVHA</w:t>
      </w:r>
      <w:r>
        <w:rPr>
          <w:rFonts w:ascii="Times New Roman" w:hAnsi="Times New Roman" w:eastAsia="宋体"/>
          <w:b w:val="false"/>
          <w:sz w:val="18"/>
        </w:rPr>
        <w:t>，均值</w:t>
      </w:r>
      <w:r>
        <w:rPr>
          <w:rFonts w:eastAsia="宋体" w:ascii="Times New Roman" w:hAnsi="Times New Roman"/>
          <w:b w:val="false"/>
          <w:sz w:val="18"/>
        </w:rPr>
        <w:t>+/-</w:t>
      </w:r>
      <w:r>
        <w:rPr>
          <w:rFonts w:ascii="Times New Roman" w:hAnsi="Times New Roman" w:eastAsia="宋体"/>
          <w:b w:val="false"/>
          <w:sz w:val="18"/>
        </w:rPr>
        <w:t>标准差，</w:t>
      </w:r>
      <w:r>
        <w:rPr>
          <w:rFonts w:eastAsia="宋体" w:ascii="Times New Roman" w:hAnsi="Times New Roman"/>
          <w:b w:val="false"/>
          <w:sz w:val="18"/>
        </w:rPr>
        <w:t>n=20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20</w:t>
      </w:r>
      <w:r>
        <w:rPr>
          <w:rFonts w:ascii="Times New Roman" w:hAnsi="Times New Roman" w:eastAsia="宋体"/>
          <w:b w:val="false"/>
          <w:sz w:val="21"/>
        </w:rPr>
        <w:t>组随机种子（</w:t>
      </w:r>
      <w:r>
        <w:rPr>
          <w:rFonts w:eastAsia="宋体" w:ascii="Times New Roman" w:hAnsi="Times New Roman"/>
          <w:b w:val="false"/>
          <w:sz w:val="21"/>
        </w:rPr>
        <w:t>100~119</w:t>
      </w:r>
      <w:r>
        <w:rPr>
          <w:rFonts w:ascii="Times New Roman" w:hAnsi="Times New Roman" w:eastAsia="宋体"/>
          <w:b w:val="false"/>
          <w:sz w:val="21"/>
        </w:rPr>
        <w:t>）和仿真参数下运行，实验条件与</w:t>
      </w:r>
      <w:r>
        <w:rPr>
          <w:rFonts w:eastAsia="宋体" w:ascii="Times New Roman" w:hAnsi="Times New Roman"/>
          <w:b w:val="false"/>
          <w:sz w:val="21"/>
        </w:rPr>
        <w:t>3.1</w:t>
      </w:r>
      <w:r>
        <w:rPr>
          <w:rFonts w:ascii="Times New Roman" w:hAnsi="Times New Roman" w:eastAsia="宋体"/>
          <w:b w:val="false"/>
          <w:sz w:val="21"/>
        </w:rPr>
        <w:t>节一致。图</w:t>
      </w:r>
      <w:r>
        <w:rPr>
          <w:rFonts w:eastAsia="宋体" w:ascii="Times New Roman" w:hAnsi="Times New Roman"/>
          <w:b w:val="false"/>
          <w:sz w:val="21"/>
        </w:rPr>
        <w:t>4</w:t>
      </w:r>
      <w:r>
        <w:rPr>
          <w:rFonts w:ascii="Times New Roman" w:hAnsi="Times New Roman" w:eastAsia="宋体"/>
          <w:b w:val="false"/>
          <w:sz w:val="21"/>
        </w:rPr>
        <w:t>给出了三种方案在</w:t>
      </w:r>
      <w:r>
        <w:rPr>
          <w:rFonts w:eastAsia="宋体" w:ascii="Times New Roman" w:hAnsi="Times New Roman"/>
          <w:b w:val="false"/>
          <w:sz w:val="21"/>
        </w:rPr>
        <w:t>20</w:t>
      </w:r>
      <w:r>
        <w:rPr>
          <w:rFonts w:ascii="Times New Roman" w:hAnsi="Times New Roman" w:eastAsia="宋体"/>
          <w:b w:val="false"/>
          <w:sz w:val="21"/>
        </w:rPr>
        <w:t>次运行中的平均切换次数对比。</w:t>
      </w:r>
    </w:p>
    <w:p>
      <w:pPr>
        <w:pStyle w:val="Normal"/>
        <w:ind w:firstLine="420"/>
        <w:jc w:val="both"/>
        <w:rPr/>
      </w:pPr>
      <w:r>
        <w:rPr>
          <w:rFonts w:ascii="Times New Roman" w:hAnsi="Times New Roman" w:eastAsia="宋体"/>
          <w:b w:val="false"/>
          <w:sz w:val="21"/>
        </w:rPr>
        <w:t>表</w:t>
      </w:r>
      <w:r>
        <w:rPr>
          <w:rFonts w:eastAsia="宋体" w:ascii="Times New Roman" w:hAnsi="Times New Roman"/>
          <w:b w:val="false"/>
          <w:sz w:val="21"/>
        </w:rPr>
        <w:t>5</w:t>
      </w:r>
      <w:r>
        <w:rPr>
          <w:rFonts w:ascii="Times New Roman" w:hAnsi="Times New Roman" w:eastAsia="宋体"/>
          <w:b w:val="false"/>
          <w:sz w:val="21"/>
        </w:rPr>
        <w:t>给出了消融实验的切换次数统计。完整</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次运行中保持</w:t>
      </w:r>
      <w:r>
        <w:rPr>
          <w:rFonts w:eastAsia="宋体" w:ascii="Times New Roman" w:hAnsi="Times New Roman"/>
          <w:b w:val="false"/>
          <w:sz w:val="21"/>
        </w:rPr>
        <w:t>0</w:t>
      </w:r>
      <w:r>
        <w:rPr>
          <w:rFonts w:ascii="Times New Roman" w:hAnsi="Times New Roman" w:eastAsia="宋体"/>
          <w:b w:val="false"/>
          <w:sz w:val="21"/>
        </w:rPr>
        <w:t>次切换；移除</w:t>
      </w:r>
      <w:r>
        <w:rPr>
          <w:rFonts w:eastAsia="宋体" w:ascii="Times New Roman" w:hAnsi="Times New Roman"/>
          <w:b w:val="false"/>
          <w:sz w:val="21"/>
        </w:rPr>
        <w:t>LSTM</w:t>
      </w:r>
      <w:r>
        <w:rPr>
          <w:rFonts w:ascii="Times New Roman" w:hAnsi="Times New Roman" w:eastAsia="宋体"/>
          <w:b w:val="false"/>
          <w:sz w:val="21"/>
        </w:rPr>
        <w:t>预测模块后（</w:t>
      </w:r>
      <w:r>
        <w:rPr>
          <w:rFonts w:eastAsia="宋体" w:ascii="Times New Roman" w:hAnsi="Times New Roman"/>
          <w:b w:val="false"/>
          <w:sz w:val="21"/>
        </w:rPr>
        <w:t>LAAVHA-L</w:t>
      </w:r>
      <w:r>
        <w:rPr>
          <w:rFonts w:ascii="Times New Roman" w:hAnsi="Times New Roman" w:eastAsia="宋体"/>
          <w:b w:val="false"/>
          <w:sz w:val="21"/>
        </w:rPr>
        <w:t>），平均切换次数为</w:t>
      </w:r>
      <w:r>
        <w:rPr>
          <w:rFonts w:eastAsia="宋体" w:ascii="Times New Roman" w:hAnsi="Times New Roman"/>
          <w:b w:val="false"/>
          <w:sz w:val="21"/>
        </w:rPr>
        <w:t>0.5</w:t>
      </w:r>
      <w:r>
        <w:rPr>
          <w:rFonts w:ascii="Times New Roman" w:hAnsi="Times New Roman" w:eastAsia="宋体"/>
          <w:b w:val="false"/>
          <w:sz w:val="21"/>
        </w:rPr>
        <w:t>次（标准差</w:t>
      </w:r>
      <w:r>
        <w:rPr>
          <w:rFonts w:eastAsia="宋体" w:ascii="Times New Roman" w:hAnsi="Times New Roman"/>
          <w:b w:val="false"/>
          <w:sz w:val="21"/>
        </w:rPr>
        <w:t>0.89</w:t>
      </w:r>
      <w:r>
        <w:rPr>
          <w:rFonts w:ascii="Times New Roman" w:hAnsi="Times New Roman" w:eastAsia="宋体"/>
          <w:b w:val="false"/>
          <w:sz w:val="21"/>
        </w:rPr>
        <w:t>），在部分种子下出现了</w:t>
      </w:r>
      <w:r>
        <w:rPr>
          <w:rFonts w:eastAsia="宋体" w:ascii="Times New Roman" w:hAnsi="Times New Roman"/>
          <w:b w:val="false"/>
          <w:sz w:val="21"/>
        </w:rPr>
        <w:t>1~2</w:t>
      </w:r>
      <w:r>
        <w:rPr>
          <w:rFonts w:ascii="Times New Roman" w:hAnsi="Times New Roman" w:eastAsia="宋体"/>
          <w:b w:val="false"/>
          <w:sz w:val="21"/>
        </w:rPr>
        <w:t>次切换；移除注意力动态权重模块后（</w:t>
      </w:r>
      <w:r>
        <w:rPr>
          <w:rFonts w:eastAsia="宋体" w:ascii="Times New Roman" w:hAnsi="Times New Roman"/>
          <w:b w:val="false"/>
          <w:sz w:val="21"/>
        </w:rPr>
        <w:t>LAAVHA-A</w:t>
      </w:r>
      <w:r>
        <w:rPr>
          <w:rFonts w:ascii="Times New Roman" w:hAnsi="Times New Roman" w:eastAsia="宋体"/>
          <w:b w:val="false"/>
          <w:sz w:val="21"/>
        </w:rPr>
        <w:t>），平均切换次数为</w:t>
      </w:r>
      <w:r>
        <w:rPr>
          <w:rFonts w:eastAsia="宋体" w:ascii="Times New Roman" w:hAnsi="Times New Roman"/>
          <w:b w:val="false"/>
          <w:sz w:val="21"/>
        </w:rPr>
        <w:t>2.0</w:t>
      </w:r>
      <w:r>
        <w:rPr>
          <w:rFonts w:ascii="Times New Roman" w:hAnsi="Times New Roman" w:eastAsia="宋体"/>
          <w:b w:val="false"/>
          <w:sz w:val="21"/>
        </w:rPr>
        <w:t>次（标准差</w:t>
      </w:r>
      <w:r>
        <w:rPr>
          <w:rFonts w:eastAsia="宋体" w:ascii="Times New Roman" w:hAnsi="Times New Roman"/>
          <w:b w:val="false"/>
          <w:sz w:val="21"/>
        </w:rPr>
        <w:t>0.00</w:t>
      </w:r>
      <w:r>
        <w:rPr>
          <w:rFonts w:ascii="Times New Roman" w:hAnsi="Times New Roman" w:eastAsia="宋体"/>
          <w:b w:val="false"/>
          <w:sz w:val="21"/>
        </w:rPr>
        <w:t>），所有种子均发生</w:t>
      </w:r>
      <w:r>
        <w:rPr>
          <w:rFonts w:eastAsia="宋体" w:ascii="Times New Roman" w:hAnsi="Times New Roman"/>
          <w:b w:val="false"/>
          <w:sz w:val="21"/>
        </w:rPr>
        <w:t>2</w:t>
      </w:r>
      <w:r>
        <w:rPr>
          <w:rFonts w:ascii="Times New Roman" w:hAnsi="Times New Roman" w:eastAsia="宋体"/>
          <w:b w:val="false"/>
          <w:sz w:val="21"/>
        </w:rPr>
        <w:t>次切换。三种方案的最终接入网络均为</w:t>
      </w:r>
      <w:r>
        <w:rPr>
          <w:rFonts w:eastAsia="宋体" w:ascii="Times New Roman" w:hAnsi="Times New Roman"/>
          <w:b w:val="false"/>
          <w:sz w:val="21"/>
        </w:rPr>
        <w:t>5G</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上述结果表明，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零切换的贡献具有显著的协同效应——单独保留任一模块均无法完全抑制乒乓切换。其中注意力模块的缺失对切换次数的影响更为显著（从</w:t>
      </w:r>
      <w:r>
        <w:rPr>
          <w:rFonts w:eastAsia="宋体" w:ascii="Times New Roman" w:hAnsi="Times New Roman"/>
          <w:b w:val="false"/>
          <w:sz w:val="21"/>
        </w:rPr>
        <w:t>0</w:t>
      </w:r>
      <w:r>
        <w:rPr>
          <w:rFonts w:ascii="Times New Roman" w:hAnsi="Times New Roman" w:eastAsia="宋体"/>
          <w:b w:val="false"/>
          <w:sz w:val="21"/>
        </w:rPr>
        <w:t>次增至</w:t>
      </w:r>
      <w:r>
        <w:rPr>
          <w:rFonts w:eastAsia="宋体" w:ascii="Times New Roman" w:hAnsi="Times New Roman"/>
          <w:b w:val="false"/>
          <w:sz w:val="21"/>
        </w:rPr>
        <w:t>2.0</w:t>
      </w:r>
      <w:r>
        <w:rPr>
          <w:rFonts w:ascii="Times New Roman" w:hAnsi="Times New Roman" w:eastAsia="宋体"/>
          <w:b w:val="false"/>
          <w:sz w:val="21"/>
        </w:rPr>
        <w:t>次），说明在遥感巡航场景下动态权重调节对区分不同飞行阶段的网络需求具有不可替代的作用。</w:t>
      </w:r>
    </w:p>
    <w:p>
      <w:pPr>
        <w:pStyle w:val="Normal"/>
        <w:jc w:val="center"/>
        <w:rPr/>
      </w:pPr>
      <w:r>
        <w:rPr/>
        <w:drawing>
          <wp:inline distT="0" distB="0" distL="0" distR="0">
            <wp:extent cx="5120640" cy="367157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120640" cy="3671570"/>
                    </a:xfrm>
                    <a:prstGeom prst="rect">
                      <a:avLst/>
                    </a:prstGeom>
                  </pic:spPr>
                </pic:pic>
              </a:graphicData>
            </a:graphic>
          </wp:inline>
        </w:drawing>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4 20</w:t>
      </w:r>
      <w:r>
        <w:rPr>
          <w:rFonts w:ascii="Times New Roman" w:hAnsi="Times New Roman" w:eastAsia="黑体"/>
          <w:b w:val="false"/>
          <w:sz w:val="19"/>
        </w:rPr>
        <w:t>次运行统计结果</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统计项</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结果</w:t>
            </w:r>
          </w:p>
        </w:tc>
      </w:tr>
      <w:tr>
        <w:trPr/>
        <w:tc>
          <w:tcPr>
            <w:tcW w:w="4762" w:type="dxa"/>
            <w:tcBorders/>
          </w:tcPr>
          <w:p>
            <w:pPr>
              <w:pStyle w:val="Normal"/>
              <w:spacing w:before="0" w:after="200"/>
              <w:jc w:val="center"/>
              <w:rPr/>
            </w:pPr>
            <w:r>
              <w:rPr>
                <w:rFonts w:ascii="Times New Roman" w:hAnsi="Times New Roman" w:eastAsia="宋体"/>
                <w:b w:val="false"/>
                <w:sz w:val="19"/>
              </w:rPr>
              <w:t>成功运行次数</w:t>
            </w:r>
          </w:p>
        </w:tc>
        <w:tc>
          <w:tcPr>
            <w:tcW w:w="4761" w:type="dxa"/>
            <w:tcBorders/>
          </w:tcPr>
          <w:p>
            <w:pPr>
              <w:pStyle w:val="Normal"/>
              <w:spacing w:before="0" w:after="200"/>
              <w:jc w:val="center"/>
              <w:rPr/>
            </w:pPr>
            <w:r>
              <w:rPr>
                <w:rFonts w:eastAsia="宋体" w:ascii="Times New Roman" w:hAnsi="Times New Roman"/>
                <w:b w:val="false"/>
                <w:sz w:val="19"/>
              </w:rPr>
              <w:t>180/180</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平均切换次数</w:t>
            </w:r>
          </w:p>
        </w:tc>
        <w:tc>
          <w:tcPr>
            <w:tcW w:w="4761" w:type="dxa"/>
            <w:tcBorders/>
          </w:tcPr>
          <w:p>
            <w:pPr>
              <w:pStyle w:val="Normal"/>
              <w:spacing w:before="0" w:after="200"/>
              <w:jc w:val="center"/>
              <w:rPr/>
            </w:pPr>
            <w:r>
              <w:rPr>
                <w:rFonts w:eastAsia="宋体" w:ascii="Times New Roman" w:hAnsi="Times New Roman"/>
                <w:b w:val="false"/>
                <w:sz w:val="19"/>
              </w:rPr>
              <w:t>0.0</w:t>
            </w:r>
          </w:p>
        </w:tc>
      </w:tr>
      <w:tr>
        <w:trPr/>
        <w:tc>
          <w:tcPr>
            <w:tcW w:w="4762" w:type="dxa"/>
            <w:tcBorders/>
          </w:tcPr>
          <w:p>
            <w:pPr>
              <w:pStyle w:val="Normal"/>
              <w:spacing w:before="0" w:after="200"/>
              <w:jc w:val="center"/>
              <w:rPr/>
            </w:pPr>
            <w:r>
              <w:rPr>
                <w:rFonts w:ascii="Times New Roman" w:hAnsi="Times New Roman" w:eastAsia="宋体"/>
                <w:b w:val="false"/>
                <w:sz w:val="19"/>
              </w:rPr>
              <w:t>切换次数分布</w:t>
            </w:r>
          </w:p>
        </w:tc>
        <w:tc>
          <w:tcPr>
            <w:tcW w:w="4761" w:type="dxa"/>
            <w:tcBorders/>
          </w:tcPr>
          <w:p>
            <w:pPr>
              <w:pStyle w:val="Normal"/>
              <w:spacing w:before="0" w:after="200"/>
              <w:jc w:val="center"/>
              <w:rPr/>
            </w:pPr>
            <w:r>
              <w:rPr>
                <w:rFonts w:eastAsia="宋体" w:ascii="Times New Roman" w:hAnsi="Times New Roman"/>
                <w:b w:val="false"/>
                <w:sz w:val="19"/>
              </w:rPr>
              <w:t xml:space="preserve">LAAVHA: </w:t>
            </w:r>
            <w:r>
              <w:rPr>
                <w:rFonts w:ascii="Times New Roman" w:hAnsi="Times New Roman" w:eastAsia="宋体"/>
                <w:b w:val="false"/>
                <w:sz w:val="19"/>
              </w:rPr>
              <w:t>全部</w:t>
            </w:r>
            <w:r>
              <w:rPr>
                <w:rFonts w:eastAsia="宋体" w:ascii="Times New Roman" w:hAnsi="Times New Roman"/>
                <w:b w:val="false"/>
                <w:sz w:val="19"/>
              </w:rPr>
              <w:t>0</w:t>
            </w:r>
            <w:r>
              <w:rPr>
                <w:rFonts w:ascii="Times New Roman" w:hAnsi="Times New Roman" w:eastAsia="宋体"/>
                <w:b w:val="false"/>
                <w:sz w:val="19"/>
              </w:rPr>
              <w:t>次</w:t>
            </w:r>
            <w:r>
              <w:rPr>
                <w:rFonts w:eastAsia="宋体" w:ascii="Times New Roman" w:hAnsi="Times New Roman"/>
                <w:b w:val="false"/>
                <w:sz w:val="19"/>
              </w:rPr>
              <w:t>; TOPSIS-Q: 2~6</w:t>
            </w:r>
            <w:r>
              <w:rPr>
                <w:rFonts w:ascii="Times New Roman" w:hAnsi="Times New Roman" w:eastAsia="宋体"/>
                <w:b w:val="false"/>
                <w:sz w:val="19"/>
              </w:rPr>
              <w:t>次</w:t>
            </w:r>
            <w:r>
              <w:rPr>
                <w:rFonts w:eastAsia="宋体" w:ascii="Times New Roman" w:hAnsi="Times New Roman"/>
                <w:b w:val="false"/>
                <w:sz w:val="19"/>
              </w:rPr>
              <w:t>; GRA: 16~24</w:t>
            </w:r>
            <w:r>
              <w:rPr>
                <w:rFonts w:ascii="Times New Roman" w:hAnsi="Times New Roman" w:eastAsia="宋体"/>
                <w:b w:val="false"/>
                <w:sz w:val="19"/>
              </w:rPr>
              <w:t>次</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最终网络分布</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各算法均以</w:t>
            </w:r>
            <w:r>
              <w:rPr>
                <w:rFonts w:eastAsia="宋体" w:ascii="Times New Roman" w:hAnsi="Times New Roman"/>
                <w:b w:val="false"/>
                <w:sz w:val="19"/>
              </w:rPr>
              <w:t>5G</w:t>
            </w:r>
            <w:r>
              <w:rPr>
                <w:rFonts w:ascii="Times New Roman" w:hAnsi="Times New Roman" w:eastAsia="宋体"/>
                <w:b w:val="false"/>
                <w:sz w:val="19"/>
              </w:rPr>
              <w:t>为主</w:t>
            </w:r>
          </w:p>
        </w:tc>
      </w:tr>
    </w:tbl>
    <w:p>
      <w:pPr>
        <w:pStyle w:val="Normal"/>
        <w:rPr/>
      </w:pPr>
      <w:r>
        <w:rPr/>
      </w:r>
    </w:p>
    <w:p>
      <w:pPr>
        <w:pStyle w:val="Normal"/>
        <w:rPr/>
      </w:pPr>
      <w:r>
        <w:rPr/>
      </w:r>
    </w:p>
    <w:p>
      <w:pPr>
        <w:pStyle w:val="Normal"/>
        <w:ind w:firstLine="420"/>
        <w:jc w:val="both"/>
        <w:rPr/>
      </w:pPr>
      <w:r>
        <w:rPr>
          <w:rFonts w:ascii="Times New Roman" w:hAnsi="Times New Roman" w:eastAsia="宋体"/>
          <w:b w:val="false"/>
          <w:sz w:val="21"/>
        </w:rPr>
        <w:t>完整</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次运行中保持了</w:t>
      </w:r>
      <w:r>
        <w:rPr>
          <w:rFonts w:eastAsia="宋体" w:ascii="Times New Roman" w:hAnsi="Times New Roman"/>
          <w:b w:val="false"/>
          <w:sz w:val="21"/>
        </w:rPr>
        <w:t>0</w:t>
      </w:r>
      <w:r>
        <w:rPr>
          <w:rFonts w:ascii="Times New Roman" w:hAnsi="Times New Roman" w:eastAsia="宋体"/>
          <w:b w:val="false"/>
          <w:sz w:val="21"/>
        </w:rPr>
        <w:t>次切换，表明双重滞后机制在代理网络场景下能够有效抑制全部不必要的切换触发。</w:t>
      </w:r>
      <w:r>
        <w:rPr>
          <w:rFonts w:eastAsia="宋体" w:ascii="Times New Roman" w:hAnsi="Times New Roman"/>
          <w:b w:val="false"/>
          <w:sz w:val="21"/>
        </w:rPr>
        <w:t>LAAVHA-L</w:t>
      </w:r>
      <w:r>
        <w:rPr>
          <w:rFonts w:ascii="Times New Roman" w:hAnsi="Times New Roman" w:eastAsia="宋体"/>
          <w:b w:val="false"/>
          <w:sz w:val="21"/>
        </w:rPr>
        <w:t>（移除</w:t>
      </w:r>
      <w:r>
        <w:rPr>
          <w:rFonts w:eastAsia="宋体" w:ascii="Times New Roman" w:hAnsi="Times New Roman"/>
          <w:b w:val="false"/>
          <w:sz w:val="21"/>
        </w:rPr>
        <w:t>LSTM</w:t>
      </w:r>
      <w:r>
        <w:rPr>
          <w:rFonts w:ascii="Times New Roman" w:hAnsi="Times New Roman" w:eastAsia="宋体"/>
          <w:b w:val="false"/>
          <w:sz w:val="21"/>
        </w:rPr>
        <w:t>预测模块）的平均切换次数为</w:t>
      </w:r>
      <w:r>
        <w:rPr>
          <w:rFonts w:eastAsia="宋体" w:ascii="Times New Roman" w:hAnsi="Times New Roman"/>
          <w:b w:val="false"/>
          <w:sz w:val="21"/>
        </w:rPr>
        <w:t>0.5</w:t>
      </w:r>
      <w:r>
        <w:rPr>
          <w:rFonts w:ascii="Times New Roman" w:hAnsi="Times New Roman" w:eastAsia="宋体"/>
          <w:b w:val="false"/>
          <w:sz w:val="21"/>
        </w:rPr>
        <w:t>次（标准差</w:t>
      </w:r>
      <w:r>
        <w:rPr>
          <w:rFonts w:eastAsia="宋体" w:ascii="Times New Roman" w:hAnsi="Times New Roman"/>
          <w:b w:val="false"/>
          <w:sz w:val="21"/>
        </w:rPr>
        <w:t>0.89</w:t>
      </w:r>
      <w:r>
        <w:rPr>
          <w:rFonts w:ascii="Times New Roman" w:hAnsi="Times New Roman" w:eastAsia="宋体"/>
          <w:b w:val="false"/>
          <w:sz w:val="21"/>
        </w:rPr>
        <w:t>），在部分种子下出现了</w:t>
      </w:r>
      <w:r>
        <w:rPr>
          <w:rFonts w:eastAsia="宋体" w:ascii="Times New Roman" w:hAnsi="Times New Roman"/>
          <w:b w:val="false"/>
          <w:sz w:val="21"/>
        </w:rPr>
        <w:t>1~2</w:t>
      </w:r>
      <w:r>
        <w:rPr>
          <w:rFonts w:ascii="Times New Roman" w:hAnsi="Times New Roman" w:eastAsia="宋体"/>
          <w:b w:val="false"/>
          <w:sz w:val="21"/>
        </w:rPr>
        <w:t>次切换，说明缺少</w:t>
      </w:r>
      <w:r>
        <w:rPr>
          <w:rFonts w:eastAsia="宋体" w:ascii="Times New Roman" w:hAnsi="Times New Roman"/>
          <w:b w:val="false"/>
          <w:sz w:val="21"/>
        </w:rPr>
        <w:t>LSTM</w:t>
      </w:r>
      <w:r>
        <w:rPr>
          <w:rFonts w:ascii="Times New Roman" w:hAnsi="Times New Roman" w:eastAsia="宋体"/>
          <w:b w:val="false"/>
          <w:sz w:val="21"/>
        </w:rPr>
        <w:t>预测会导致在</w:t>
      </w:r>
      <w:r>
        <w:rPr>
          <w:rFonts w:eastAsia="宋体" w:ascii="Times New Roman" w:hAnsi="Times New Roman"/>
          <w:b w:val="false"/>
          <w:sz w:val="21"/>
        </w:rPr>
        <w:t>WiFi</w:t>
      </w:r>
      <w:r>
        <w:rPr>
          <w:rFonts w:ascii="Times New Roman" w:hAnsi="Times New Roman" w:eastAsia="宋体"/>
          <w:b w:val="false"/>
          <w:sz w:val="21"/>
        </w:rPr>
        <w:t>覆盖边缘附近的决策滞后——当无人机接近</w:t>
      </w:r>
      <w:r>
        <w:rPr>
          <w:rFonts w:eastAsia="宋体" w:ascii="Times New Roman" w:hAnsi="Times New Roman"/>
          <w:b w:val="false"/>
          <w:sz w:val="21"/>
        </w:rPr>
        <w:t>WiFi</w:t>
      </w:r>
      <w:r>
        <w:rPr>
          <w:rFonts w:ascii="Times New Roman" w:hAnsi="Times New Roman" w:eastAsia="宋体"/>
          <w:b w:val="false"/>
          <w:sz w:val="21"/>
        </w:rPr>
        <w:t>覆盖边界时，若仅依赖当前状态（无预测前瞻），评分可能在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之间出现短暂振荡，触发非必要的切换。</w:t>
      </w:r>
      <w:r>
        <w:rPr>
          <w:rFonts w:eastAsia="宋体" w:ascii="Times New Roman" w:hAnsi="Times New Roman"/>
          <w:b w:val="false"/>
          <w:sz w:val="21"/>
        </w:rPr>
        <w:t>LAAVHA-A</w:t>
      </w:r>
      <w:r>
        <w:rPr>
          <w:rFonts w:ascii="Times New Roman" w:hAnsi="Times New Roman" w:eastAsia="宋体"/>
          <w:b w:val="false"/>
          <w:sz w:val="21"/>
        </w:rPr>
        <w:t>（移除注意力动态权重，改用等权重）的平均切换次数为</w:t>
      </w:r>
      <w:r>
        <w:rPr>
          <w:rFonts w:eastAsia="宋体" w:ascii="Times New Roman" w:hAnsi="Times New Roman"/>
          <w:b w:val="false"/>
          <w:sz w:val="21"/>
        </w:rPr>
        <w:t>2.0</w:t>
      </w:r>
      <w:r>
        <w:rPr>
          <w:rFonts w:ascii="Times New Roman" w:hAnsi="Times New Roman" w:eastAsia="宋体"/>
          <w:b w:val="false"/>
          <w:sz w:val="21"/>
        </w:rPr>
        <w:t>次（标准差</w:t>
      </w:r>
      <w:r>
        <w:rPr>
          <w:rFonts w:eastAsia="宋体" w:ascii="Times New Roman" w:hAnsi="Times New Roman"/>
          <w:b w:val="false"/>
          <w:sz w:val="21"/>
        </w:rPr>
        <w:t>0.00</w:t>
      </w:r>
      <w:r>
        <w:rPr>
          <w:rFonts w:ascii="Times New Roman" w:hAnsi="Times New Roman" w:eastAsia="宋体"/>
          <w:b w:val="false"/>
          <w:sz w:val="21"/>
        </w:rPr>
        <w:t>），在所有</w:t>
      </w:r>
      <w:r>
        <w:rPr>
          <w:rFonts w:eastAsia="宋体" w:ascii="Times New Roman" w:hAnsi="Times New Roman"/>
          <w:b w:val="false"/>
          <w:sz w:val="21"/>
        </w:rPr>
        <w:t>20</w:t>
      </w:r>
      <w:r>
        <w:rPr>
          <w:rFonts w:ascii="Times New Roman" w:hAnsi="Times New Roman" w:eastAsia="宋体"/>
          <w:b w:val="false"/>
          <w:sz w:val="21"/>
        </w:rPr>
        <w:t>次运行中均发生了</w:t>
      </w:r>
      <w:r>
        <w:rPr>
          <w:rFonts w:eastAsia="宋体" w:ascii="Times New Roman" w:hAnsi="Times New Roman"/>
          <w:b w:val="false"/>
          <w:sz w:val="21"/>
        </w:rPr>
        <w:t>2</w:t>
      </w:r>
      <w:r>
        <w:rPr>
          <w:rFonts w:ascii="Times New Roman" w:hAnsi="Times New Roman" w:eastAsia="宋体"/>
          <w:b w:val="false"/>
          <w:sz w:val="21"/>
        </w:rPr>
        <w:t>次切换，说明固定权重无法根据遥感巡航的不同飞行阶段调整属性优先级，导致在某些决策周期（如靠近拍摄点的图像回传阶段）选择了次优网络。两组消融结果共同表明，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的零切换贡献具有显著的协同效应——单独保留任一模块均无法完全抑制乒乓切换。</w:t>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cPr>
          <w:p>
            <w:pPr>
              <w:pStyle w:val="Normal"/>
              <w:spacing w:before="0" w:after="200"/>
              <w:jc w:val="center"/>
              <w:rPr/>
            </w:pPr>
            <w:r>
              <w:rPr>
                <w:rFonts w:ascii="宋体" w:hAnsi="宋体"/>
                <w:b/>
                <w:sz w:val="16"/>
              </w:rPr>
              <w:t>方案</w:t>
            </w:r>
          </w:p>
        </w:tc>
        <w:tc>
          <w:tcPr>
            <w:tcW w:w="1905" w:type="dxa"/>
            <w:tcBorders/>
          </w:tcPr>
          <w:p>
            <w:pPr>
              <w:pStyle w:val="Normal"/>
              <w:spacing w:before="0" w:after="200"/>
              <w:jc w:val="center"/>
              <w:rPr/>
            </w:pPr>
            <w:r>
              <w:rPr>
                <w:rFonts w:ascii="宋体" w:hAnsi="宋体"/>
                <w:b/>
                <w:sz w:val="16"/>
              </w:rPr>
              <w:t>平均切换次数（次）</w:t>
            </w:r>
          </w:p>
        </w:tc>
        <w:tc>
          <w:tcPr>
            <w:tcW w:w="1905" w:type="dxa"/>
            <w:tcBorders/>
          </w:tcPr>
          <w:p>
            <w:pPr>
              <w:pStyle w:val="Normal"/>
              <w:spacing w:before="0" w:after="200"/>
              <w:jc w:val="center"/>
              <w:rPr/>
            </w:pPr>
            <w:r>
              <w:rPr>
                <w:rFonts w:ascii="宋体" w:hAnsi="宋体"/>
                <w:b/>
                <w:sz w:val="16"/>
              </w:rPr>
              <w:t>平均端到端时延（s）</w:t>
            </w:r>
          </w:p>
        </w:tc>
        <w:tc>
          <w:tcPr>
            <w:tcW w:w="1905" w:type="dxa"/>
            <w:tcBorders/>
          </w:tcPr>
          <w:p>
            <w:pPr>
              <w:pStyle w:val="Normal"/>
              <w:spacing w:before="0" w:after="200"/>
              <w:jc w:val="center"/>
              <w:rPr/>
            </w:pPr>
            <w:r>
              <w:rPr>
                <w:rFonts w:ascii="宋体" w:hAnsi="宋体"/>
                <w:b/>
                <w:sz w:val="16"/>
              </w:rPr>
              <w:t>丢包率（%）</w:t>
            </w:r>
          </w:p>
        </w:tc>
        <w:tc>
          <w:tcPr>
            <w:tcW w:w="1906" w:type="dxa"/>
            <w:tcBorders/>
          </w:tcPr>
          <w:p>
            <w:pPr>
              <w:pStyle w:val="Normal"/>
              <w:spacing w:before="0" w:after="200"/>
              <w:jc w:val="center"/>
              <w:rPr/>
            </w:pPr>
            <w:r>
              <w:rPr>
                <w:rFonts w:ascii="宋体" w:hAnsi="宋体"/>
                <w:b/>
                <w:sz w:val="16"/>
              </w:rPr>
              <w:t>平均吞吐量（Mbps）</w:t>
            </w:r>
          </w:p>
        </w:tc>
      </w:tr>
      <w:tr>
        <w:trPr/>
        <w:tc>
          <w:tcPr>
            <w:tcW w:w="1905" w:type="dxa"/>
            <w:tcBorders/>
          </w:tcPr>
          <w:p>
            <w:pPr>
              <w:pStyle w:val="Normal"/>
              <w:spacing w:before="0" w:after="200"/>
              <w:jc w:val="center"/>
              <w:rPr/>
            </w:pPr>
            <w:r>
              <w:rPr>
                <w:rFonts w:ascii="宋体" w:hAnsi="宋体"/>
                <w:sz w:val="16"/>
              </w:rPr>
              <w:t>LAAVHA</w:t>
            </w:r>
          </w:p>
        </w:tc>
        <w:tc>
          <w:tcPr>
            <w:tcW w:w="1905" w:type="dxa"/>
            <w:tcBorders/>
          </w:tcPr>
          <w:p>
            <w:pPr>
              <w:pStyle w:val="Normal"/>
              <w:spacing w:before="0" w:after="200"/>
              <w:jc w:val="center"/>
              <w:rPr/>
            </w:pPr>
            <w:r>
              <w:rPr>
                <w:rFonts w:ascii="宋体" w:hAnsi="宋体"/>
                <w:sz w:val="16"/>
              </w:rPr>
              <w:t>0.0</w:t>
            </w:r>
          </w:p>
        </w:tc>
        <w:tc>
          <w:tcPr>
            <w:tcW w:w="1905" w:type="dxa"/>
            <w:tcBorders/>
          </w:tcPr>
          <w:p>
            <w:pPr>
              <w:pStyle w:val="Normal"/>
              <w:spacing w:before="0" w:after="200"/>
              <w:jc w:val="center"/>
              <w:rPr/>
            </w:pPr>
            <w:r>
              <w:rPr>
                <w:rFonts w:ascii="宋体" w:hAnsi="宋体"/>
                <w:sz w:val="16"/>
              </w:rPr>
              <w:t>0.0</w:t>
            </w:r>
          </w:p>
        </w:tc>
        <w:tc>
          <w:tcPr>
            <w:tcW w:w="1905" w:type="dxa"/>
            <w:tcBorders/>
          </w:tcPr>
          <w:p>
            <w:pPr>
              <w:pStyle w:val="Normal"/>
              <w:spacing w:before="0" w:after="200"/>
              <w:jc w:val="center"/>
              <w:rPr/>
            </w:pPr>
            <w:r>
              <w:rPr>
                <w:rFonts w:ascii="宋体" w:hAnsi="宋体"/>
                <w:sz w:val="16"/>
              </w:rPr>
              <w:t>0.0</w:t>
            </w:r>
          </w:p>
        </w:tc>
        <w:tc>
          <w:tcPr>
            <w:tcW w:w="1906" w:type="dxa"/>
            <w:tcBorders/>
          </w:tcPr>
          <w:p>
            <w:pPr>
              <w:pStyle w:val="Normal"/>
              <w:spacing w:before="0" w:after="200"/>
              <w:jc w:val="center"/>
              <w:rPr/>
            </w:pPr>
            <w:r>
              <w:rPr>
                <w:rFonts w:ascii="宋体" w:hAnsi="宋体"/>
                <w:sz w:val="16"/>
              </w:rPr>
              <w:t>0.0</w:t>
            </w:r>
          </w:p>
        </w:tc>
      </w:tr>
      <w:tr>
        <w:trPr/>
        <w:tc>
          <w:tcPr>
            <w:tcW w:w="1905" w:type="dxa"/>
            <w:tcBorders/>
          </w:tcPr>
          <w:p>
            <w:pPr>
              <w:pStyle w:val="Normal"/>
              <w:spacing w:before="0" w:after="200"/>
              <w:jc w:val="center"/>
              <w:rPr/>
            </w:pPr>
            <w:r>
              <w:rPr>
                <w:rFonts w:ascii="宋体" w:hAnsi="宋体"/>
                <w:sz w:val="16"/>
              </w:rPr>
              <w:t>LAAVHA-L</w:t>
            </w:r>
          </w:p>
        </w:tc>
        <w:tc>
          <w:tcPr>
            <w:tcW w:w="1905" w:type="dxa"/>
            <w:tcBorders/>
          </w:tcPr>
          <w:p>
            <w:pPr>
              <w:pStyle w:val="Normal"/>
              <w:spacing w:before="0" w:after="200"/>
              <w:jc w:val="center"/>
              <w:rPr/>
            </w:pPr>
            <w:r>
              <w:rPr>
                <w:rFonts w:ascii="宋体" w:hAnsi="宋体"/>
                <w:sz w:val="16"/>
              </w:rPr>
              <w:t>0.5</w:t>
            </w:r>
          </w:p>
        </w:tc>
        <w:tc>
          <w:tcPr>
            <w:tcW w:w="1905" w:type="dxa"/>
            <w:tcBorders/>
          </w:tcPr>
          <w:p>
            <w:pPr>
              <w:pStyle w:val="Normal"/>
              <w:spacing w:before="0" w:after="200"/>
              <w:jc w:val="center"/>
              <w:rPr/>
            </w:pPr>
            <w:r>
              <w:rPr>
                <w:rFonts w:ascii="宋体" w:hAnsi="宋体"/>
                <w:sz w:val="16"/>
              </w:rPr>
              <w:t>0.5</w:t>
            </w:r>
          </w:p>
        </w:tc>
        <w:tc>
          <w:tcPr>
            <w:tcW w:w="1905" w:type="dxa"/>
            <w:tcBorders/>
          </w:tcPr>
          <w:p>
            <w:pPr>
              <w:pStyle w:val="Normal"/>
              <w:spacing w:before="0" w:after="200"/>
              <w:jc w:val="center"/>
              <w:rPr/>
            </w:pPr>
            <w:r>
              <w:rPr>
                <w:rFonts w:ascii="宋体" w:hAnsi="宋体"/>
                <w:sz w:val="16"/>
              </w:rPr>
              <w:t>0.7</w:t>
            </w:r>
          </w:p>
        </w:tc>
        <w:tc>
          <w:tcPr>
            <w:tcW w:w="1906" w:type="dxa"/>
            <w:tcBorders/>
          </w:tcPr>
          <w:p>
            <w:pPr>
              <w:pStyle w:val="Normal"/>
              <w:spacing w:before="0" w:after="200"/>
              <w:jc w:val="center"/>
              <w:rPr/>
            </w:pPr>
            <w:r>
              <w:rPr>
                <w:rFonts w:ascii="宋体" w:hAnsi="宋体"/>
                <w:sz w:val="16"/>
              </w:rPr>
              <w:t>0.0</w:t>
            </w:r>
          </w:p>
        </w:tc>
      </w:tr>
      <w:tr>
        <w:trPr/>
        <w:tc>
          <w:tcPr>
            <w:tcW w:w="1905" w:type="dxa"/>
            <w:tcBorders/>
          </w:tcPr>
          <w:p>
            <w:pPr>
              <w:pStyle w:val="Normal"/>
              <w:spacing w:before="0" w:after="200"/>
              <w:jc w:val="center"/>
              <w:rPr/>
            </w:pPr>
            <w:r>
              <w:rPr>
                <w:rFonts w:ascii="宋体" w:hAnsi="宋体"/>
                <w:sz w:val="16"/>
              </w:rPr>
              <w:t>LAAVHA-A</w:t>
            </w:r>
          </w:p>
        </w:tc>
        <w:tc>
          <w:tcPr>
            <w:tcW w:w="1905" w:type="dxa"/>
            <w:tcBorders/>
          </w:tcPr>
          <w:p>
            <w:pPr>
              <w:pStyle w:val="Normal"/>
              <w:spacing w:before="0" w:after="200"/>
              <w:jc w:val="center"/>
              <w:rPr/>
            </w:pPr>
            <w:r>
              <w:rPr>
                <w:rFonts w:ascii="宋体" w:hAnsi="宋体"/>
                <w:sz w:val="16"/>
              </w:rPr>
              <w:t>2.0</w:t>
            </w:r>
          </w:p>
        </w:tc>
        <w:tc>
          <w:tcPr>
            <w:tcW w:w="1905" w:type="dxa"/>
            <w:tcBorders/>
          </w:tcPr>
          <w:p>
            <w:pPr>
              <w:pStyle w:val="Normal"/>
              <w:spacing w:before="0" w:after="200"/>
              <w:jc w:val="center"/>
              <w:rPr/>
            </w:pPr>
            <w:r>
              <w:rPr>
                <w:rFonts w:ascii="宋体" w:hAnsi="宋体"/>
                <w:sz w:val="16"/>
              </w:rPr>
              <w:t>0.0</w:t>
            </w:r>
          </w:p>
        </w:tc>
        <w:tc>
          <w:tcPr>
            <w:tcW w:w="1905" w:type="dxa"/>
            <w:tcBorders/>
          </w:tcPr>
          <w:p>
            <w:pPr>
              <w:pStyle w:val="Normal"/>
              <w:spacing w:before="0" w:after="200"/>
              <w:jc w:val="center"/>
              <w:rPr/>
            </w:pPr>
            <w:r>
              <w:rPr>
                <w:rFonts w:ascii="宋体" w:hAnsi="宋体"/>
                <w:sz w:val="16"/>
              </w:rPr>
              <w:t>0.0</w:t>
            </w:r>
          </w:p>
        </w:tc>
        <w:tc>
          <w:tcPr>
            <w:tcW w:w="1906" w:type="dxa"/>
            <w:tcBorders/>
          </w:tcPr>
          <w:p>
            <w:pPr>
              <w:pStyle w:val="Normal"/>
              <w:spacing w:before="0" w:after="200"/>
              <w:jc w:val="center"/>
              <w:rPr/>
            </w:pPr>
            <w:r>
              <w:rPr>
                <w:rFonts w:ascii="宋体" w:hAnsi="宋体"/>
                <w:sz w:val="16"/>
              </w:rPr>
              <w:t>0.0</w:t>
            </w:r>
          </w:p>
        </w:tc>
      </w:tr>
    </w:tbl>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面向无人机遥感监测中的广域多网络切换需求，研究了基于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自适应垂直切换方法。该方法利用堆叠</w:t>
      </w:r>
      <w:r>
        <w:rPr>
          <w:rFonts w:eastAsia="宋体" w:ascii="Times New Roman" w:hAnsi="Times New Roman"/>
          <w:b w:val="false"/>
          <w:sz w:val="21"/>
        </w:rPr>
        <w:t>LSTM</w:t>
      </w:r>
      <w:r>
        <w:rPr>
          <w:rFonts w:ascii="Times New Roman" w:hAnsi="Times New Roman" w:eastAsia="宋体"/>
          <w:b w:val="false"/>
          <w:sz w:val="21"/>
        </w:rPr>
        <w:t>预测候选网络状态的短期变化趋势，通过注意力机制根据飞行阶段自适应生成动态属性权重，结合融合决策矩阵与改进</w:t>
      </w:r>
      <w:r>
        <w:rPr>
          <w:rFonts w:eastAsia="宋体" w:ascii="Times New Roman" w:hAnsi="Times New Roman"/>
          <w:b w:val="false"/>
          <w:sz w:val="21"/>
        </w:rPr>
        <w:t>TOPSIS</w:t>
      </w:r>
      <w:r>
        <w:rPr>
          <w:rFonts w:ascii="Times New Roman" w:hAnsi="Times New Roman" w:eastAsia="宋体"/>
          <w:b w:val="false"/>
          <w:sz w:val="21"/>
        </w:rPr>
        <w:t>完成候选网络选择，并通过双重滞后机制抑制乒乓切换对遥感数据传输的干扰。基于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的决策级实验表明：在</w:t>
      </w:r>
      <w:r>
        <w:rPr>
          <w:rFonts w:eastAsia="宋体" w:ascii="Times New Roman" w:hAnsi="Times New Roman"/>
          <w:b w:val="false"/>
          <w:sz w:val="21"/>
        </w:rPr>
        <w:t>20</w:t>
      </w:r>
      <w:r>
        <w:rPr>
          <w:rFonts w:ascii="Times New Roman" w:hAnsi="Times New Roman" w:eastAsia="宋体"/>
          <w:b w:val="false"/>
          <w:sz w:val="21"/>
        </w:rPr>
        <w:t>组不同初始位置和航线的随机场景下，</w:t>
      </w:r>
      <w:r>
        <w:rPr>
          <w:rFonts w:eastAsia="宋体" w:ascii="Times New Roman" w:hAnsi="Times New Roman"/>
          <w:b w:val="false"/>
          <w:sz w:val="21"/>
        </w:rPr>
        <w:t>LAAVHA</w:t>
      </w:r>
      <w:r>
        <w:rPr>
          <w:rFonts w:ascii="Times New Roman" w:hAnsi="Times New Roman" w:eastAsia="宋体"/>
          <w:b w:val="false"/>
          <w:sz w:val="21"/>
        </w:rPr>
        <w:t>能够利用双重滞后机制有效过滤瞬时信道波动，平均切换次数为</w:t>
      </w:r>
      <w:r>
        <w:rPr>
          <w:rFonts w:eastAsia="宋体" w:ascii="Times New Roman" w:hAnsi="Times New Roman"/>
          <w:b w:val="false"/>
          <w:sz w:val="21"/>
        </w:rPr>
        <w:t>0</w:t>
      </w:r>
      <w:r>
        <w:rPr>
          <w:rFonts w:ascii="Times New Roman" w:hAnsi="Times New Roman" w:eastAsia="宋体"/>
          <w:b w:val="false"/>
          <w:sz w:val="21"/>
        </w:rPr>
        <w:t>次，在所有</w:t>
      </w:r>
      <w:r>
        <w:rPr>
          <w:rFonts w:eastAsia="宋体" w:ascii="Times New Roman" w:hAnsi="Times New Roman"/>
          <w:b w:val="false"/>
          <w:sz w:val="21"/>
        </w:rPr>
        <w:t>9</w:t>
      </w:r>
      <w:r>
        <w:rPr>
          <w:rFonts w:ascii="Times New Roman" w:hAnsi="Times New Roman" w:eastAsia="宋体"/>
          <w:b w:val="false"/>
          <w:sz w:val="21"/>
        </w:rPr>
        <w:t>种算法中保持最优——具体而言，</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3.9</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19.6</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13.6</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25.6</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23.1</w:t>
      </w:r>
      <w:r>
        <w:rPr>
          <w:rFonts w:ascii="Times New Roman" w:hAnsi="Times New Roman" w:eastAsia="宋体"/>
          <w:b w:val="false"/>
          <w:sz w:val="21"/>
        </w:rPr>
        <w:t>次、最强信号法为</w:t>
      </w:r>
      <w:r>
        <w:rPr>
          <w:rFonts w:eastAsia="宋体" w:ascii="Times New Roman" w:hAnsi="Times New Roman"/>
          <w:b w:val="false"/>
          <w:sz w:val="21"/>
        </w:rPr>
        <w:t>1.7</w:t>
      </w:r>
      <w:r>
        <w:rPr>
          <w:rFonts w:ascii="Times New Roman" w:hAnsi="Times New Roman" w:eastAsia="宋体"/>
          <w:b w:val="false"/>
          <w:sz w:val="21"/>
        </w:rPr>
        <w:t>次，</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0.5</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w:t>
      </w:r>
      <w:r>
        <w:rPr>
          <w:rFonts w:ascii="Times New Roman" w:hAnsi="Times New Roman" w:eastAsia="宋体"/>
          <w:b w:val="false"/>
          <w:sz w:val="21"/>
        </w:rPr>
        <w:t>次，最终网络均稳定接入</w:t>
      </w:r>
      <w:r>
        <w:rPr>
          <w:rFonts w:eastAsia="宋体" w:ascii="Times New Roman" w:hAnsi="Times New Roman"/>
          <w:b w:val="false"/>
          <w:sz w:val="21"/>
        </w:rPr>
        <w:t>5G</w:t>
      </w:r>
      <w:r>
        <w:rPr>
          <w:rFonts w:ascii="Times New Roman" w:hAnsi="Times New Roman" w:eastAsia="宋体"/>
          <w:b w:val="false"/>
          <w:sz w:val="21"/>
        </w:rPr>
        <w:t>，保障了遥感图像和飞控数据的连续传输。消融实验进一步确认了</w:t>
      </w:r>
      <w:r>
        <w:rPr>
          <w:rFonts w:eastAsia="宋体" w:ascii="Times New Roman" w:hAnsi="Times New Roman"/>
          <w:b w:val="false"/>
          <w:sz w:val="21"/>
        </w:rPr>
        <w:t>LSTM</w:t>
      </w:r>
      <w:r>
        <w:rPr>
          <w:rFonts w:ascii="Times New Roman" w:hAnsi="Times New Roman" w:eastAsia="宋体"/>
          <w:b w:val="false"/>
          <w:sz w:val="21"/>
        </w:rPr>
        <w:t>预测模块和注意力动态权重模块对决策稳定性和遥感数据可靠传输的协同贡献。</w:t>
      </w:r>
    </w:p>
    <w:p>
      <w:pPr>
        <w:pStyle w:val="Normal"/>
        <w:ind w:firstLine="420"/>
        <w:jc w:val="both"/>
        <w:rPr/>
      </w:pPr>
      <w:r>
        <w:rPr>
          <w:rFonts w:ascii="Times New Roman" w:hAnsi="Times New Roman" w:eastAsia="宋体"/>
          <w:b w:val="false"/>
          <w:sz w:val="21"/>
        </w:rPr>
        <w:t>当前实验仍存在以下局限：</w:t>
      </w:r>
      <w:r>
        <w:rPr>
          <w:rFonts w:eastAsia="宋体" w:ascii="Times New Roman" w:hAnsi="Times New Roman"/>
          <w:b w:val="false"/>
          <w:sz w:val="21"/>
        </w:rPr>
        <w:t>5G</w:t>
      </w:r>
      <w:r>
        <w:rPr>
          <w:rFonts w:ascii="Times New Roman" w:hAnsi="Times New Roman" w:eastAsia="宋体"/>
          <w:b w:val="false"/>
          <w:sz w:val="21"/>
        </w:rPr>
        <w:t>候选网络采用代理链路表示，并非真实</w:t>
      </w:r>
      <w:r>
        <w:rPr>
          <w:rFonts w:eastAsia="宋体" w:ascii="Times New Roman" w:hAnsi="Times New Roman"/>
          <w:b w:val="false"/>
          <w:sz w:val="21"/>
        </w:rPr>
        <w:t>NR</w:t>
      </w:r>
      <w:r>
        <w:rPr>
          <w:rFonts w:ascii="Times New Roman" w:hAnsi="Times New Roman" w:eastAsia="宋体"/>
          <w:b w:val="false"/>
          <w:sz w:val="21"/>
        </w:rPr>
        <w:t>协议栈</w:t>
      </w:r>
      <w:r>
        <w:rPr>
          <w:rFonts w:eastAsia="宋体" w:ascii="Times New Roman" w:hAnsi="Times New Roman"/>
          <w:b w:val="false"/>
          <w:sz w:val="21"/>
          <w:vertAlign w:val="superscript"/>
        </w:rPr>
        <w:t>[27]</w:t>
      </w:r>
      <w:r>
        <w:rPr>
          <w:rFonts w:ascii="Times New Roman" w:hAnsi="Times New Roman" w:eastAsia="宋体"/>
          <w:b w:val="false"/>
          <w:sz w:val="21"/>
        </w:rPr>
        <w:t>；切换记录为决策层网络编号变化，尚未执行真实协议层</w:t>
      </w:r>
      <w:r>
        <w:rPr>
          <w:rFonts w:eastAsia="宋体" w:ascii="Times New Roman" w:hAnsi="Times New Roman"/>
          <w:b w:val="false"/>
          <w:sz w:val="21"/>
        </w:rPr>
        <w:t>attach/detach</w:t>
      </w:r>
      <w:r>
        <w:rPr>
          <w:rFonts w:ascii="Times New Roman" w:hAnsi="Times New Roman" w:eastAsia="宋体"/>
          <w:b w:val="false"/>
          <w:sz w:val="21"/>
        </w:rPr>
        <w:t>过程；随机性主要来自初始位置和高度扰动，尚未引入更复杂的业务流模型和信道衰落</w:t>
      </w:r>
      <w:r>
        <w:rPr>
          <w:rFonts w:eastAsia="宋体" w:ascii="Times New Roman" w:hAnsi="Times New Roman"/>
          <w:b w:val="false"/>
          <w:sz w:val="21"/>
          <w:vertAlign w:val="superscript"/>
        </w:rPr>
        <w:t>[28]</w:t>
      </w:r>
      <w:r>
        <w:rPr>
          <w:rFonts w:ascii="Times New Roman" w:hAnsi="Times New Roman" w:eastAsia="宋体"/>
          <w:b w:val="false"/>
          <w:sz w:val="21"/>
        </w:rPr>
        <w:t>。后续将进一步引入真实</w:t>
      </w:r>
      <w:r>
        <w:rPr>
          <w:rFonts w:eastAsia="宋体" w:ascii="Times New Roman" w:hAnsi="Times New Roman"/>
          <w:b w:val="false"/>
          <w:sz w:val="21"/>
        </w:rPr>
        <w:t>5G NR</w:t>
      </w:r>
      <w:r>
        <w:rPr>
          <w:rFonts w:ascii="Times New Roman" w:hAnsi="Times New Roman" w:eastAsia="宋体"/>
          <w:b w:val="false"/>
          <w:sz w:val="21"/>
        </w:rPr>
        <w:t>模块和协议级切换执行机制，开展不同遥感任务剖面（多航线、变高度、多机协同）下的算法适应性验证，以及信道衰落、气象条件和通信干扰等因素对遥感数据回传可靠性的影响分析。</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CHANDRAN I, VIPIN K. Multi-UAV networks for disaster monitoring: challenges and opportunities from a network perspective[J]. Drone Systems and Applications, 2024, 12: 1-28.</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11"/>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13</Pages>
  <Words>8254</Words>
  <Characters>16186</Characters>
  <CharactersWithSpaces>17949</CharactersWithSpaces>
  <Paragraphs>208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2026-06-04T11:11:57Z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