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four baseline algorithms (TOPSIS-Q, Fuzzy-VHO, SAW,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1F658438">
      <w:pPr>
        <w:ind w:firstLine="420"/>
        <w:jc w:val="both"/>
      </w:pPr>
      <w:r>
        <w:rPr>
          <w:rFonts w:ascii="Times New Roman" w:hAnsi="Times New Roman" w:eastAsia="宋体"/>
          <w:b w:val="0"/>
          <w:sz w:val="21"/>
        </w:rPr>
        <w:t>在遥感巡航场景中，网络状态参数（SINR、时延等）的变化并非随机波动，而是呈现与飞行轨迹、距离和信道条件相关的时序规律——例如WiFi SINR随无人机远离热点近似线性衰减。堆叠LSTM通过其门控结构能够从历史状态序列中学习这类长程依赖关系，克服传统循环神经网络在处理长序列时的梯度消失问题</w:t>
      </w:r>
      <w:r>
        <w:rPr>
          <w:rFonts w:ascii="Times New Roman" w:hAnsi="Times New Roman" w:eastAsia="宋体"/>
          <w:b w:val="0"/>
          <w:sz w:val="21"/>
          <w:vertAlign w:val="superscript"/>
        </w:rPr>
        <w:t>[15]</w:t>
      </w:r>
      <w:r>
        <w:rPr>
          <w:rFonts w:ascii="Times New Roman" w:hAnsi="Times New Roman" w:eastAsia="宋体"/>
          <w:b w:val="0"/>
          <w:sz w:val="21"/>
        </w:rPr>
        <w:t>，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[16]</w:t>
      </w:r>
      <w:r>
        <w:rPr>
          <w:rFonts w:ascii="Times New Roman" w:hAnsi="Times New Roman" w:eastAsia="宋体"/>
          <w:b w:val="0"/>
          <w:sz w:val="21"/>
        </w:rPr>
        <w:t>。具体配置为：第一层128个隐藏单元用于捕获5维网络状态向量中的底层变化模式，第二层64个隐藏单元用于提取跨指标的抽象时序特征，两层之间形成由细粒度到粗粒度的层次化表达；时间窗口T=10对应1 s的历史观测（决策周期0.1 s），约为WiFi覆盖边缘过渡飞行时间的一半，足以捕捉信号衰减趋势。模型采用Adam优化器训练，数据集按80%/20%划分为训练集和验证集，并引入早停策略防止过拟合——当验证集损失连续10个epoch不再下降时终止训练。</w:t>
      </w:r>
    </w:p>
    <w:p w14:paraId="773DB582">
      <w:pPr>
        <w:ind w:firstLine="420"/>
        <w:jc w:val="both"/>
      </w:pPr>
      <w:r>
        <w:rPr>
          <w:rFonts w:ascii="Times New Roman" w:hAnsi="Times New Roman" w:eastAsia="宋体"/>
          <w:b w:val="0"/>
          <w:sz w:val="21"/>
        </w:rPr>
        <w:t>设时间窗口长度为T，第i个候选网络的历史输入序列为</w:t>
      </w:r>
    </w:p>
    <w:p w14:paraId="0351034E">
      <w:pPr>
        <w:spacing w:before="120" w:after="120"/>
        <w:jc w:val="center"/>
      </w:pPr>
      <w:r>
        <w:rPr>
          <w:rFonts w:ascii="Times New Roman" w:hAnsi="Times New Roman" w:eastAsia="宋体"/>
          <w:b w:val="0"/>
          <w:sz w:val="21"/>
        </w:rPr>
        <w:t>Xi = [Ŝi(t−T+1), Ŝi(t−T+2), …, Ŝi(t)]    （2）</w:t>
      </w:r>
    </w:p>
    <w:p w14:paraId="26DBA37E">
      <w:pPr>
        <w:ind w:firstLine="420"/>
        <w:jc w:val="both"/>
      </w:pPr>
      <w:r>
        <w:rPr>
          <w:rFonts w:ascii="Times New Roman" w:hAnsi="Times New Roman" w:eastAsia="宋体"/>
          <w:b w:val="0"/>
          <w:sz w:val="21"/>
        </w:rPr>
        <w:t>经LSTM模块处理后，得到预测状态Ŝi(t+Δt)。在遥感飞行中，这意味着LAAVHA能够提前感知WiFi SINR即将跌破可用门限、或LTE吞吐量因负载上升而下降的趋势——在问题实际发生前即可将候选网络排序向更优方向调整。</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14:paraId="24A433BB">
      <w:pPr>
        <w:spacing w:before="120" w:after="120"/>
        <w:jc w:val="center"/>
      </w:pPr>
      <w:r>
        <w:rPr>
          <w:rFonts w:ascii="Times New Roman" w:hAnsi="Times New Roman" w:eastAsia="宋体"/>
          <w:b w:val="0"/>
          <w:sz w:val="21"/>
        </w:rPr>
        <w:t>w = [wSINR, wRSRP, wD, wT, wPLR]，且 ∑wj = 1    （3）</w:t>
      </w:r>
    </w:p>
    <w:p w14:paraId="754361A2">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14:paraId="119780B6">
      <w:pPr>
        <w:spacing w:before="120" w:after="120"/>
        <w:jc w:val="center"/>
      </w:pPr>
      <w:r>
        <w:rPr>
          <w:rFonts w:ascii="Times New Roman" w:hAnsi="Times New Roman" w:eastAsia="宋体"/>
          <w:b w:val="0"/>
          <w:sz w:val="21"/>
        </w:rPr>
        <w:t>dij = α · ŝij(t) + (1−α) · ŝij(t+Δt)    （4）</w:t>
      </w:r>
    </w:p>
    <w:p w14:paraId="71BADD7C">
      <w:pPr>
        <w:jc w:val="both"/>
      </w:pPr>
      <w:r>
        <w:rPr>
          <w:rFonts w:ascii="Times New Roman" w:hAnsi="Times New Roman" w:eastAsia="宋体"/>
          <w:b w:val="0"/>
          <w:sz w:val="21"/>
        </w:rPr>
        <w:t>式中，α为融合系数（本文取α=0.6），α=0.6意味着当前状态权重略高于预测状态，这一设置在不过度依赖LSTM预测的前提下仍能发挥前瞻引导作用：在遥感巡航中，当前实测SINR和吞吐量直接反映无人机当前位置的真实网络状况，而预测信息则提前感知前方覆盖衰减趋势，两者结合实现平滑过渡而非仓促切换。得到融合决策矩阵后，算法依次执行向量归一化、动态权重加权、正负理想解确定、欧氏距离计算和相对贴近度计算。候选网络i的相对贴近度为</w:t>
      </w:r>
    </w:p>
    <w:p w14:paraId="0A0042B5">
      <w:pPr>
        <w:spacing w:before="120" w:after="120"/>
        <w:jc w:val="center"/>
      </w:pPr>
      <w:r>
        <w:rPr>
          <w:rFonts w:ascii="Times New Roman" w:hAnsi="Times New Roman" w:eastAsia="宋体"/>
          <w:b w:val="0"/>
          <w:sz w:val="21"/>
        </w:rPr>
        <w:t>Ci = Di⁻ / (Di⁺ + Di⁻)    （5）</w:t>
      </w:r>
    </w:p>
    <w:p w14:paraId="0638D90D">
      <w:pPr>
        <w:jc w:val="both"/>
      </w:pPr>
      <w:r>
        <w:rPr>
          <w:rFonts w:ascii="Times New Roman" w:hAnsi="Times New Roman" w:eastAsia="宋体"/>
          <w:b w:val="0"/>
          <w:sz w:val="21"/>
        </w:rPr>
        <w:t>式中，Di⁺和Di⁻分别表示候选网络到正理想解和负理想解的欧氏距离。Ci∈[0,1]，越接近1表示候选网络在多维属性空间中越靠近"最优网络"——在遥感任务中，这意味着该网络在当前飞行位置和阶段下对图像回传、飞控响应和链路稳定性三者的综合保障能力最强。</w:t>
      </w:r>
    </w:p>
    <w:p w14:paraId="79DBABFF">
      <w:pPr>
        <w:ind w:firstLine="420"/>
        <w:jc w:val="both"/>
      </w:pPr>
      <w:r>
        <w:rPr>
          <w:rFonts w:ascii="Times New Roman" w:hAnsi="Times New Roman" w:eastAsia="宋体"/>
          <w:b w:val="0"/>
          <w:sz w:val="21"/>
        </w:rPr>
        <w:t>为降低网络状态瞬时波动引发的乒乓切换，算法设置双重滞后机制</w:t>
      </w:r>
      <w:r>
        <w:rPr>
          <w:rFonts w:ascii="Times New Roman" w:hAnsi="Times New Roman" w:eastAsia="宋体"/>
          <w:b w:val="0"/>
          <w:sz w:val="21"/>
          <w:vertAlign w:val="superscript"/>
        </w:rPr>
        <w:t>[25]</w:t>
      </w:r>
      <w:r>
        <w:rPr>
          <w:rFonts w:ascii="Times New Roman" w:hAnsi="Times New Roman" w:eastAsia="宋体"/>
          <w:b w:val="0"/>
          <w:sz w:val="21"/>
        </w:rPr>
        <w:t>。首先，仅当目标网络相对贴近度超过当前网络一定阈值时，才满足切换必要条件；其次，只有连续多个决策周期满足切换条件时才执行切换。在遥感任务中，一次不必要的乒乓切换可能导致正在传输的图像数据包丢失，并引入额外的网络重连时延。该机制能够过滤短时信道波动，避免切换决策对遥感数据传输造成扰动。</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端到端神经网络直接输出5维预测状态和5维动态权重，随后在推理侧执行与训练阶段完全一致的融合-TOPSIS-滞后决策流程，从而兼顾了神经网络的学习能力和传统多属性决策的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m）。实验除LAAVHA外，还运行了TOPSIS-Q、Fuzzy-VHO、SAW和最强信号法等4种对比算法以及LAAVHA-L、LAAVHA-A两种消融变体作为参照，记录每次决策的候选网络评分、SINR、当前网络、目标网络和切换标记。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SINR随节点移动距离变化出现明显下降，该衰减趋势验证了遥感巡航场景中WiFi覆盖随飞行距离退化的核心假设：当无人机从热点中心飞向2000 m任务区域边缘时，WiFi SINR从约20 dB持续降至5 dB以下——若未及时切换，该链路上正在传输的遥感图像将出现不可恢复的误码；LTE SINR在整个飞行过程中保持15~18 dB的平稳水平，为图像回传和飞控指令提供了可靠的底层链路；5G代理链路SINR在25~28 dB范围内波动，但由于传输类指标来自P2P代理流而非真实NR协议栈，高SINR值未直接转化为最终的网络选择偏好。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m/s，即典型遥感巡航速度）的代理网络场景下进行，实验条件与3.1节一致。表5给出三种方案的性能对比，图4进一步展示不同节点规模下的指标变化趋势。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TOPSIS-Q（4.20/8.20次）、Fuzzy-VHO（8.60/3.40次）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