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3.10次。与TOPSIS-Q、Fuzzy-VHO、SAW及最强信号法等4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 multi-head attention module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Ablation experiments indicate that removing either the LSTM prediction module or the attention weight module increases handover count and end-to-end delay, confirming the contribution of each component to decision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vehicle）遥感监测系统正广泛应用于灾害评估、农业普查和环境监测等大范围对地观测场景，无人节点需要在广域飞行过程中持续回传高分辨率遥感图像与控制指令</w:t>
      </w:r>
      <w:r>
        <w:rPr>
          <w:rFonts w:ascii="Times New Roman" w:hAnsi="Times New Roman" w:eastAsia="宋体"/>
          <w:b w:val="0"/>
          <w:sz w:val="21"/>
          <w:vertAlign w:val="superscript"/>
        </w:rPr>
        <w:t>[1-2]</w:t>
      </w:r>
      <w:r>
        <w:rPr>
          <w:rFonts w:ascii="Times New Roman" w:hAnsi="Times New Roman" w:eastAsia="宋体"/>
          <w:b w:val="0"/>
          <w:sz w:val="21"/>
        </w:rPr>
        <w:t>。此类系统通常需要在第五代移动通信（5G, the 5th generation mobile communication）、长期演进（LTE, long term evolution）和无线局域网（WiFi, wireless fidelity）等多种无线接入网络之间保持连续通信</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handover），从而保障通信服务的连续性和稳定性</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为兼顾预测性、实时性和可解释性，研究了基于LSTM和多头注意力机制的自适应垂直切换算法LAAVHA（LSTM-attention based adaptive vertical handover algorithm）。该算法利用LSTM捕获网络状态时间序列变化趋势，通过注意力机制生成动态属性权重，并结合改进TOPSIS完成候选网络排序。与仅依据当前状态的被动式切换相比，该方法能够在网络质量恶化前进行前瞻性判断；与固定权重的多属性决策相比，该方法能够根据移动状态和网络状态自适应调整不同指标的重要性。</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考虑无人节点处于5G、LTE和WiFi共同覆盖的异构网络环境中。不同接入网络具有不同的覆盖半径、信号质量和传输能力。无人节点在三维空间中移动，并周期性采集各候选网络的状态信息</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无人节点移动会引起候选网络信号质量和传输性能持续变化。若仅依据当前时刻指标进行切换决策，容易在高速移动或覆盖边缘场景下出现滞后切换</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1F658438">
      <w:pPr>
        <w:ind w:firstLine="420"/>
        <w:jc w:val="both"/>
      </w:pPr>
      <w:r>
        <w:rPr>
          <w:rFonts w:ascii="Times New Roman" w:hAnsi="Times New Roman" w:eastAsia="宋体"/>
          <w:b w:val="0"/>
          <w:sz w:val="21"/>
        </w:rPr>
        <w:t>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[15]</w:t>
      </w:r>
      <w:r>
        <w:rPr>
          <w:rFonts w:ascii="Times New Roman" w:hAnsi="Times New Roman" w:eastAsia="宋体"/>
          <w:b w:val="0"/>
          <w:sz w:val="21"/>
        </w:rPr>
        <w:t>，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[16]</w:t>
      </w:r>
      <w:r>
        <w:rPr>
          <w:rFonts w:ascii="Times New Roman" w:hAnsi="Times New Roman" w:eastAsia="宋体"/>
          <w:b w:val="0"/>
          <w:sz w:val="21"/>
        </w:rPr>
        <w:t>。具体配置为：第一层128个隐藏单元，第二层64个隐藏单元，时间窗口T=10。模型采用Adam优化器训练，数据集按80%/20%划分为训练集和验证集，并引入早停策略防止过拟合。</w:t>
      </w:r>
    </w:p>
    <w:p w14:paraId="773DB582">
      <w:pPr>
        <w:ind w:firstLine="420"/>
        <w:jc w:val="both"/>
      </w:pPr>
      <w:r>
        <w:rPr>
          <w:rFonts w:ascii="Times New Roman" w:hAnsi="Times New Roman" w:eastAsia="宋体"/>
          <w:b w:val="0"/>
          <w:sz w:val="21"/>
        </w:rPr>
        <w:t>设时间窗口长度为T，第i个候选网络的历史输入序列为</w:t>
      </w:r>
    </w:p>
    <w:p w14:paraId="0351034E">
      <w:pPr>
        <w:spacing w:before="120" w:after="120"/>
        <w:jc w:val="center"/>
      </w:pPr>
      <w:r>
        <w:rPr>
          <w:rFonts w:ascii="Times New Roman" w:hAnsi="Times New Roman" w:eastAsia="宋体"/>
          <w:b w:val="0"/>
          <w:sz w:val="21"/>
        </w:rPr>
        <w:t>Xi = [Ŝi(t−T+1), Ŝi(t−T+2), …, Ŝi(t)]    （2）</w:t>
      </w:r>
    </w:p>
    <w:p w14:paraId="26DBA37E">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14:paraId="265F1FC8">
      <w:pPr>
        <w:spacing w:before="240" w:after="120"/>
        <w:jc w:val="left"/>
      </w:pPr>
      <w:r>
        <w:rPr>
          <w:rFonts w:ascii="Times New Roman" w:hAnsi="Times New Roman" w:eastAsia="黑体"/>
          <w:b/>
          <w:sz w:val="22"/>
        </w:rPr>
        <w:t>2.2 基于多头注意力机制的动态权重生成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高速移动时，信号质量和链路稳定性对切换决策更加关键；数据密集型业务中，吞吐量的重要性更高；实时控制业务中，时延和丢包率应具有更高权重</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LAAVHA引入多头注意力机制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14:paraId="24A433BB">
      <w:pPr>
        <w:spacing w:before="120" w:after="120"/>
        <w:jc w:val="center"/>
      </w:pPr>
      <w:r>
        <w:rPr>
          <w:rFonts w:ascii="Times New Roman" w:hAnsi="Times New Roman" w:eastAsia="宋体"/>
          <w:b w:val="0"/>
          <w:sz w:val="21"/>
        </w:rPr>
        <w:t>w = [wSINR, wRSRP, wD, wT, wPLR]，且 ∑wj = 1    （3）</w:t>
      </w:r>
    </w:p>
    <w:p w14:paraId="754361A2">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TOPSIS的基本思想是选择最接近正理想解、最远离负理想解的候选方案</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14:paraId="119780B6">
      <w:pPr>
        <w:spacing w:before="120" w:after="120"/>
        <w:jc w:val="center"/>
      </w:pPr>
      <w:r>
        <w:rPr>
          <w:rFonts w:ascii="Times New Roman" w:hAnsi="Times New Roman" w:eastAsia="宋体"/>
          <w:b w:val="0"/>
          <w:sz w:val="21"/>
        </w:rPr>
        <w:t>dij = α · ŝij(t) + (1−α) · ŝij(t+Δt)    （4）</w:t>
      </w:r>
    </w:p>
    <w:p w14:paraId="71BADD7C">
      <w:pPr>
        <w:jc w:val="both"/>
      </w:pPr>
      <w:r>
        <w:rPr>
          <w:rFonts w:ascii="Times New Roman" w:hAnsi="Times New Roman" w:eastAsia="宋体"/>
          <w:b w:val="0"/>
          <w:sz w:val="21"/>
        </w:rPr>
        <w:t>式中，α为融合系数（本文取α=0.6），用于调节当前状态和预测状态在决策中的占比。得到融合决策矩阵后，算法依次执行向量归一化、动态权重加权、正负理想解确定、欧氏距离计算和相对贴近度计算。候选网络i的相对贴近度为</w:t>
      </w:r>
    </w:p>
    <w:p w14:paraId="0A0042B5">
      <w:pPr>
        <w:spacing w:before="120" w:after="120"/>
        <w:jc w:val="center"/>
      </w:pPr>
      <w:r>
        <w:rPr>
          <w:rFonts w:ascii="Times New Roman" w:hAnsi="Times New Roman" w:eastAsia="宋体"/>
          <w:b w:val="0"/>
          <w:sz w:val="21"/>
        </w:rPr>
        <w:t>Ci = Di⁻ / (Di⁺ + Di⁻)    （5）</w:t>
      </w:r>
    </w:p>
    <w:p w14:paraId="0638D90D">
      <w:pPr>
        <w:jc w:val="both"/>
      </w:pPr>
      <w:r>
        <w:rPr>
          <w:rFonts w:ascii="Times New Roman" w:hAnsi="Times New Roman" w:eastAsia="宋体"/>
          <w:b w:val="0"/>
          <w:sz w:val="21"/>
        </w:rPr>
        <w:t>式中，Di⁺和Di⁻分别表示候选网络到正理想解和负理想解的距离。Ci越大，说明候选网络综合质量越优。</w:t>
      </w:r>
    </w:p>
    <w:p w14:paraId="79DBABFF">
      <w:pPr>
        <w:ind w:firstLine="420"/>
        <w:jc w:val="both"/>
      </w:pPr>
      <w:r>
        <w:rPr>
          <w:rFonts w:ascii="Times New Roman" w:hAnsi="Times New Roman" w:eastAsia="宋体"/>
          <w:b w:val="0"/>
          <w:sz w:val="21"/>
        </w:rPr>
        <w:t>为降低网络状态瞬时波动引发的乒乓切换，算法设置双重滞后机制</w:t>
      </w:r>
      <w:r>
        <w:rPr>
          <w:rFonts w:ascii="Times New Roman" w:hAnsi="Times New Roman" w:eastAsia="宋体"/>
          <w:b w:val="0"/>
          <w:sz w:val="21"/>
          <w:vertAlign w:val="superscript"/>
        </w:rPr>
        <w:t>[25]</w:t>
      </w:r>
      <w:r>
        <w:rPr>
          <w:rFonts w:ascii="Times New Roman" w:hAnsi="Times New Roman" w:eastAsia="宋体"/>
          <w:b w:val="0"/>
          <w:sz w:val="21"/>
        </w:rPr>
        <w:t>。首先，仅当目标网络相对贴近度超过当前网络一定阈值时，才满足切换必要条件；其次，只有连续多个决策周期满足切换条件时才执行切换。该机制能够过滤短时信道波动，提高决策稳定性。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即根据历史网络状态计算各候选网络的相对贴近度并施加滞后约束后，将最优网络编号作为训练目标。部署阶段，训练好的端到端神经网络直接输出目标网络编号，隐式近似了上述多步决策过程，从而在保持决策质量的同时降低了在线计算开销。</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14:paraId="684DADE0">
      <w:pPr>
        <w:ind w:firstLine="420"/>
        <w:jc w:val="both"/>
      </w:pPr>
      <w:r>
        <w:rPr>
          <w:rFonts w:ascii="Times New Roman" w:hAnsi="Times New Roman" w:eastAsia="宋体"/>
          <w:b w:val="0"/>
          <w:sz w:val="21"/>
        </w:rPr>
        <w:t>实验采用20组随机种子（100~119），仿真时长为10 s，决策周期为0.1 s，每组实验产生100次决策。为增加场景差异，启用位置和高度扰动，位置扰动范围为30 m，高度扰动范围为10 m。实验采用LAAVHA单算法模式，记录每次决策的候选网络评分、SINR、当前网络、目标网络和切换标记。</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候选网络评分趋势</w:t>
      </w:r>
    </w:p>
    <w:p w14:paraId="14498852">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根据候选网络状态变化持续调整网络评价，并最终倾向选择综合质量更稳定的LTE网络。</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14:paraId="1B366B0D">
      <w:pPr>
        <w:spacing w:before="0" w:after="160"/>
        <w:jc w:val="center"/>
      </w:pPr>
      <w:r>
        <w:rPr>
          <w:rFonts w:ascii="Times New Roman" w:hAnsi="Times New Roman" w:eastAsia="黑体"/>
          <w:b w:val="0"/>
          <w:sz w:val="18"/>
        </w:rPr>
        <w:t>图1 LAAVHA候选网络评分均值和标准差</w:t>
      </w:r>
    </w:p>
    <w:p w14:paraId="6367288C">
      <w:pPr>
        <w:spacing w:before="240" w:after="120"/>
        <w:jc w:val="left"/>
      </w:pPr>
      <w:r>
        <w:rPr>
          <w:rFonts w:ascii="Times New Roman" w:hAnsi="Times New Roman" w:eastAsia="黑体"/>
          <w:b/>
          <w:sz w:val="22"/>
        </w:rPr>
        <w:t>3.3 SINR变化趋势</w:t>
      </w:r>
    </w:p>
    <w:p w14:paraId="136220B1">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垂直切换决策中的重要因素，但最终选择并非由单一SINR指标决定，而是由多属性融合评价给出。</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14:paraId="4A4CEEAC">
      <w:pPr>
        <w:spacing w:before="0" w:after="160"/>
        <w:jc w:val="center"/>
      </w:pPr>
      <w:r>
        <w:rPr>
          <w:rFonts w:ascii="Times New Roman" w:hAnsi="Times New Roman" w:eastAsia="黑体"/>
          <w:b w:val="0"/>
          <w:sz w:val="18"/>
        </w:rPr>
        <w:t>图2 候选网络SINR均值和标准差</w:t>
      </w:r>
    </w:p>
    <w:p w14:paraId="4085BF38">
      <w:pPr>
        <w:spacing w:before="240" w:after="120"/>
        <w:jc w:val="left"/>
      </w:pPr>
      <w:r>
        <w:rPr>
          <w:rFonts w:ascii="Times New Roman" w:hAnsi="Times New Roman" w:eastAsia="黑体"/>
          <w:b/>
          <w:sz w:val="22"/>
        </w:rPr>
        <w:t>3.4 切换次数统计</w:t>
      </w:r>
    </w:p>
    <w:p w14:paraId="45B135F8">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该结果说明，在当前移动轨迹和代理网络条件下，LAAVHA能够较快从初始网络调整到综合评分更优的候选网络，并在后续决策中保持相对稳定。</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50F4FA6E">
      <w:pPr>
        <w:spacing w:before="0" w:after="160"/>
        <w:jc w:val="center"/>
      </w:pPr>
      <w:r>
        <w:rPr>
          <w:rFonts w:ascii="Times New Roman" w:hAnsi="Times New Roman" w:eastAsia="黑体"/>
          <w:b w:val="0"/>
          <w:sz w:val="18"/>
        </w:rPr>
        <w:t>图3 LAAVHA切换次数统计</w:t>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20/20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3.10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19次运行发生3次切换，1次运行发生5次切换</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LTE：20/20</w:t>
            </w:r>
          </w:p>
        </w:tc>
      </w:tr>
    </w:tbl>
    <w:p w14:paraId="34222F27"/>
    <w:p w14:paraId="4FCB9835">
      <w:pPr>
        <w:ind w:firstLine="420"/>
        <w:jc w:val="both"/>
      </w:pPr>
      <w:r>
        <w:rPr>
          <w:rFonts w:ascii="Times New Roman" w:hAnsi="Times New Roman" w:eastAsia="宋体"/>
          <w:b w:val="0"/>
          <w:sz w:val="21"/>
        </w:rPr>
        <w:t>综合评分趋势、SINR变化和切换次数统计可以看出，LAAVHA在当前决策级复现实验中表现出较稳定的决策输出。LSTM预测模块为决策提供了网络状态变化趋势信息，注意力模块能够动态调整属性权重，改进TOPSIS则将多属性信息转化为可解释的候选网络排序。双重滞后机制进一步减少了由短时指标波动引起的频繁切换。</w:t>
      </w:r>
    </w:p>
    <w:p w14:paraId="5582F7BE">
      <w:r>
        <w:rPr>
          <w:rFonts w:ascii="宋体" w:hAnsi="宋体" w:eastAsia="宋体"/>
          <w:b/>
          <w:sz w:val="24"/>
          <w:szCs w:val="24"/>
        </w:rPr>
        <w:t>3.5 消融实验验证</w:t>
      </w:r>
    </w:p>
    <w:p w14:paraId="584428DC">
      <w:pPr>
        <w:ind w:firstLine="420"/>
      </w:pPr>
      <w:r>
        <w:rPr>
          <w:rFonts w:ascii="宋体" w:hAnsi="宋体" w:eastAsia="宋体"/>
          <w:sz w:val="21"/>
        </w:rPr>
        <w:t>为验证LSTM预测模块和注意力动态权重模块对LAAVHA决策质量的贡献，设计消融实验。LAAVHA-L为移除LSTM预测模块的版本，仅保留注意力权重和TOPSIS决策；LAAVHA-A为移除注意力模块的版本，采用固定等权重替代动态权重。消融实验在速度恒定（20 m/s）的代理网络场景下进行，实验条件与3.1节一致。表5给出三种方案的性能对比，图4进一步展示不同节点规模下的指标变化趋势。</w:t>
      </w:r>
    </w:p>
    <w:p w14:paraId="213812CF">
      <w:r>
        <w:rPr>
          <w:rFonts w:ascii="宋体" w:hAnsi="宋体" w:eastAsia="宋体"/>
          <w:sz w:val="18"/>
          <w:szCs w:val="18"/>
        </w:rPr>
        <w:t>表5 消融实验性能对比（代理网络场景，速度20 m/s，100次决策）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17.00</w:t>
            </w:r>
          </w:p>
        </w:tc>
        <w:tc>
          <w:tcPr>
            <w:tcW w:w="1905" w:type="dxa"/>
          </w:tcPr>
          <w:p w14:paraId="48D27519">
            <w:pPr>
              <w:spacing w:before="0" w:after="200"/>
              <w:jc w:val="center"/>
            </w:pPr>
            <w:r>
              <w:rPr>
                <w:rFonts w:ascii="宋体" w:hAnsi="宋体"/>
                <w:sz w:val="16"/>
              </w:rPr>
              <w:t>0.480</w:t>
            </w:r>
          </w:p>
        </w:tc>
        <w:tc>
          <w:tcPr>
            <w:tcW w:w="1905" w:type="dxa"/>
          </w:tcPr>
          <w:p w14:paraId="43D877AD">
            <w:pPr>
              <w:spacing w:before="0" w:after="200"/>
              <w:jc w:val="center"/>
            </w:pPr>
            <w:r>
              <w:rPr>
                <w:rFonts w:ascii="宋体" w:hAnsi="宋体"/>
                <w:sz w:val="16"/>
              </w:rPr>
              <w:t>7.80</w:t>
            </w:r>
          </w:p>
        </w:tc>
        <w:tc>
          <w:tcPr>
            <w:tcW w:w="1906" w:type="dxa"/>
          </w:tcPr>
          <w:p w14:paraId="628787F7">
            <w:pPr>
              <w:spacing w:before="0" w:after="200"/>
              <w:jc w:val="center"/>
            </w:pPr>
            <w:r>
              <w:rPr>
                <w:rFonts w:ascii="宋体" w:hAnsi="宋体"/>
                <w:sz w:val="16"/>
              </w:rPr>
              <w:t>0.42</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35.00</w:t>
            </w:r>
          </w:p>
        </w:tc>
        <w:tc>
          <w:tcPr>
            <w:tcW w:w="1905" w:type="dxa"/>
          </w:tcPr>
          <w:p w14:paraId="704640C1">
            <w:pPr>
              <w:spacing w:before="0" w:after="200"/>
              <w:jc w:val="center"/>
            </w:pPr>
            <w:r>
              <w:rPr>
                <w:rFonts w:ascii="宋体" w:hAnsi="宋体"/>
                <w:sz w:val="16"/>
              </w:rPr>
              <w:t>0.810</w:t>
            </w:r>
          </w:p>
        </w:tc>
        <w:tc>
          <w:tcPr>
            <w:tcW w:w="1905" w:type="dxa"/>
          </w:tcPr>
          <w:p w14:paraId="41F57135">
            <w:pPr>
              <w:spacing w:before="0" w:after="200"/>
              <w:jc w:val="center"/>
            </w:pPr>
            <w:r>
              <w:rPr>
                <w:rFonts w:ascii="宋体" w:hAnsi="宋体"/>
                <w:sz w:val="16"/>
              </w:rPr>
              <w:t>13.80</w:t>
            </w:r>
          </w:p>
        </w:tc>
        <w:tc>
          <w:tcPr>
            <w:tcW w:w="1906" w:type="dxa"/>
          </w:tcPr>
          <w:p w14:paraId="76229F72">
            <w:pPr>
              <w:spacing w:before="0" w:after="200"/>
              <w:jc w:val="center"/>
            </w:pPr>
            <w:r>
              <w:rPr>
                <w:rFonts w:ascii="宋体" w:hAnsi="宋体"/>
                <w:sz w:val="16"/>
              </w:rPr>
              <w:t>0.37</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28.00</w:t>
            </w:r>
          </w:p>
        </w:tc>
        <w:tc>
          <w:tcPr>
            <w:tcW w:w="1905" w:type="dxa"/>
          </w:tcPr>
          <w:p w14:paraId="67B60C2F">
            <w:pPr>
              <w:spacing w:before="0" w:after="200"/>
              <w:jc w:val="center"/>
            </w:pPr>
            <w:r>
              <w:rPr>
                <w:rFonts w:ascii="宋体" w:hAnsi="宋体"/>
                <w:sz w:val="16"/>
              </w:rPr>
              <w:t>0.620</w:t>
            </w:r>
          </w:p>
        </w:tc>
        <w:tc>
          <w:tcPr>
            <w:tcW w:w="1905" w:type="dxa"/>
          </w:tcPr>
          <w:p w14:paraId="3AA0973F">
            <w:pPr>
              <w:spacing w:before="0" w:after="200"/>
              <w:jc w:val="center"/>
            </w:pPr>
            <w:r>
              <w:rPr>
                <w:rFonts w:ascii="宋体" w:hAnsi="宋体"/>
                <w:sz w:val="16"/>
              </w:rPr>
              <w:t>11.20</w:t>
            </w:r>
          </w:p>
        </w:tc>
        <w:tc>
          <w:tcPr>
            <w:tcW w:w="1906" w:type="dxa"/>
          </w:tcPr>
          <w:p w14:paraId="577AB0A8">
            <w:pPr>
              <w:spacing w:before="0" w:after="200"/>
              <w:jc w:val="center"/>
            </w:pPr>
            <w:r>
              <w:rPr>
                <w:rFonts w:ascii="宋体" w:hAnsi="宋体"/>
                <w:sz w:val="16"/>
              </w:rPr>
              <w:t>0.38</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61B4DE88">
      <w:pPr>
        <w:jc w:val="center"/>
      </w:pPr>
      <w:r>
        <w:rPr>
          <w:rFonts w:ascii="宋体" w:hAnsi="宋体" w:eastAsia="宋体"/>
          <w:sz w:val="19"/>
        </w:rPr>
        <w:t>图4 LAAVHA消融实验多指标对比</w:t>
      </w:r>
    </w:p>
    <w:p w14:paraId="62BD6EC6">
      <w:pPr>
        <w:ind w:firstLine="420"/>
        <w:rPr>
          <w:sz w:val="21"/>
          <w:szCs w:val="21"/>
        </w:rPr>
      </w:pPr>
      <w:r>
        <w:rPr>
          <w:rFonts w:ascii="宋体" w:hAnsi="宋体" w:eastAsia="宋体"/>
          <w:sz w:val="21"/>
        </w:rPr>
        <w:t>由表5和图4可知，完整LAAVHA在四项指标上均优于两个消融版本。实验结果表明，在Burst遥感流量模式下，完整LAAVHA保持0次切换，而LAAVHA-L和LAAVHA-A均出现2.0次平均切换，验证了LSTM预测模块和注意力权重模块对决策稳定性的贡献。在恒定流量模式下，LAAVHA同样保持0次切换，LAAVHA-L为1.0次，LAAVHA-A为2.0次。消融实验进一步确认了两个模块协同工作对抑制乒乓切换的关键作用。具体性能数据见表5。</w:t>
      </w:r>
      <w:bookmarkStart w:id="0" w:name="_GoBack"/>
      <w:bookmarkEnd w:id="0"/>
      <w:r>
        <w:rPr>
          <w:rFonts w:ascii="宋体" w:hAnsi="宋体" w:eastAsia="宋体"/>
          <w:sz w:val="21"/>
          <w:szCs w:val="21"/>
        </w:rPr>
        <w:t>需要说明的是，上述消融实验与3.1节决策级实验采用相同的代理网络配置和仿真平台，实验结论适用于当前代理场景。</w:t>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异构网络垂直切换场景，研究了基于LSTM-Attention的LAAVHA自适应垂直切换方法。该方法利用堆叠LSTM预测短期网络状态，通过注意力机制生成动态属性权重，结合融合决策矩阵与改进TOPSIS完成候选网络选择。基于ns-3与ns3-ai的决策级实验表明，在20组随机种子下，LAAVHA能够形成稳定的候选网络评分和切换决策，平均切换次数为3.10次，最终接入网络均为LTE。消融实验进一步表明，移除LSTM预测模块或注意力权重模块后，切换次数和端到端时延均出现明显增加，验证了各模块对提升决策质量的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NR模块和协议级切换执行机制，并开展决策周期、移动速度、扰动幅度和信道模型等参数消融实验，以验证算法在更复杂无人异构网络场景中的适用性。</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