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1F658438">
      <w:pPr>
        <w:ind w:firstLine="420"/>
        <w:jc w:val="both"/>
      </w:pPr>
      <w:r>
        <w:rPr>
          <w:rFonts w:ascii="Times New Roman" w:hAnsi="Times New Roman" w:eastAsia="宋体"/>
          <w:b w:val="0"/>
          <w:sz w:val="21"/>
        </w:rPr>
        <w:t>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[15]</w:t>
      </w:r>
      <w:r>
        <w:rPr>
          <w:rFonts w:ascii="Times New Roman" w:hAnsi="Times New Roman" w:eastAsia="宋体"/>
          <w:b w:val="0"/>
          <w:sz w:val="21"/>
        </w:rPr>
        <w:t>，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[16]</w:t>
      </w:r>
      <w:r>
        <w:rPr>
          <w:rFonts w:ascii="Times New Roman" w:hAnsi="Times New Roman" w:eastAsia="宋体"/>
          <w:b w:val="0"/>
          <w:sz w:val="21"/>
        </w:rPr>
        <w:t>。具体配置为：第一层128个隐藏单元，第二层64个隐藏单元，时间窗口T=10。模型采用Adam优化器训练，数据集按80%/20%划分为训练集和验证集，并引入早停策略防止过拟合。</w:t>
      </w:r>
    </w:p>
    <w:p w14:paraId="773DB582">
      <w:pPr>
        <w:ind w:firstLine="420"/>
        <w:jc w:val="both"/>
      </w:pPr>
      <w:r>
        <w:rPr>
          <w:rFonts w:ascii="Times New Roman" w:hAnsi="Times New Roman" w:eastAsia="宋体"/>
          <w:b w:val="0"/>
          <w:sz w:val="21"/>
        </w:rPr>
        <w:t>设时间窗口长度为T，第i个候选网络的历史输入序列为</w:t>
      </w:r>
    </w:p>
    <w:p w14:paraId="0351034E">
      <w:pPr>
        <w:spacing w:before="120" w:after="120"/>
        <w:jc w:val="center"/>
      </w:pPr>
      <w:r>
        <w:rPr>
          <w:rFonts w:ascii="Times New Roman" w:hAnsi="Times New Roman" w:eastAsia="宋体"/>
          <w:b w:val="0"/>
          <w:sz w:val="21"/>
        </w:rPr>
        <w:t>Xi = [Ŝi(t−T+1), Ŝi(t−T+2), …, Ŝi(t)]    （2）</w:t>
      </w:r>
    </w:p>
    <w:p w14:paraId="26DBA37E">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14:paraId="265F1FC8">
      <w:pPr>
        <w:spacing w:before="240" w:after="120"/>
        <w:jc w:val="left"/>
      </w:pPr>
      <w:r>
        <w:rPr>
          <w:rFonts w:ascii="Times New Roman" w:hAnsi="Times New Roman" w:eastAsia="黑体"/>
          <w:b/>
          <w:sz w:val="22"/>
        </w:rPr>
        <w:t>2.2 基于多头注意力机制的动态权重生成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LAAVHA引入多头注意力机制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14:paraId="24A433BB">
      <w:pPr>
        <w:spacing w:before="120" w:after="120"/>
        <w:jc w:val="center"/>
      </w:pPr>
      <w:r>
        <w:rPr>
          <w:rFonts w:ascii="Times New Roman" w:hAnsi="Times New Roman" w:eastAsia="宋体"/>
          <w:b w:val="0"/>
          <w:sz w:val="21"/>
        </w:rPr>
        <w:t>w = [wSINR, wRSRP, wD, wT, wPLR]，且 ∑wj = 1    （3）</w:t>
      </w:r>
    </w:p>
    <w:p w14:paraId="754361A2">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TOPSIS的基本思想是选择最接近正理想解、最远离负理想解的候选方案</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14:paraId="119780B6">
      <w:pPr>
        <w:spacing w:before="120" w:after="120"/>
        <w:jc w:val="center"/>
      </w:pPr>
      <w:r>
        <w:rPr>
          <w:rFonts w:ascii="Times New Roman" w:hAnsi="Times New Roman" w:eastAsia="宋体"/>
          <w:b w:val="0"/>
          <w:sz w:val="21"/>
        </w:rPr>
        <w:t>dij = α · ŝij(t) + (1−α) · ŝij(t+Δt)    （4）</w:t>
      </w:r>
    </w:p>
    <w:p w14:paraId="71BADD7C">
      <w:pPr>
        <w:jc w:val="both"/>
      </w:pPr>
      <w:r>
        <w:rPr>
          <w:rFonts w:ascii="Times New Roman" w:hAnsi="Times New Roman" w:eastAsia="宋体"/>
          <w:b w:val="0"/>
          <w:sz w:val="21"/>
        </w:rPr>
        <w:t>式中，α为融合系数（本文取α=0.6），用于调节当前状态和预测状态在决策中的占比。得到融合决策矩阵后，算法依次执行向量归一化、动态权重加权、正负理想解确定、欧氏距离计算和相对贴近度计算。候选网络i的相对贴近度为</w:t>
      </w:r>
    </w:p>
    <w:p w14:paraId="0A0042B5">
      <w:pPr>
        <w:spacing w:before="120" w:after="120"/>
        <w:jc w:val="center"/>
      </w:pPr>
      <w:r>
        <w:rPr>
          <w:rFonts w:ascii="Times New Roman" w:hAnsi="Times New Roman" w:eastAsia="宋体"/>
          <w:b w:val="0"/>
          <w:sz w:val="21"/>
        </w:rPr>
        <w:t>Ci = Di⁻ / (Di⁺ + Di⁻)    （5）</w:t>
      </w:r>
    </w:p>
    <w:p w14:paraId="0638D90D">
      <w:pPr>
        <w:jc w:val="both"/>
      </w:pPr>
      <w:r>
        <w:rPr>
          <w:rFonts w:ascii="Times New Roman" w:hAnsi="Times New Roman" w:eastAsia="宋体"/>
          <w:b w:val="0"/>
          <w:sz w:val="21"/>
        </w:rPr>
        <w:t>式中，Di⁺和Di⁻分别表示候选网络到正理想解和负理想解的距离。Ci越大，说明候选网络综合质量越优。</w:t>
      </w:r>
    </w:p>
    <w:p w14:paraId="79DBABFF">
      <w:pPr>
        <w:ind w:firstLine="420"/>
        <w:jc w:val="both"/>
      </w:pPr>
      <w:r>
        <w:rPr>
          <w:rFonts w:ascii="Times New Roman" w:hAnsi="Times New Roman" w:eastAsia="宋体"/>
          <w:b w:val="0"/>
          <w:sz w:val="21"/>
        </w:rPr>
        <w:t>为降低网络状态瞬时波动引发的乒乓切换，算法设置双重滞后机制</w:t>
      </w:r>
      <w:r>
        <w:rPr>
          <w:rFonts w:ascii="Times New Roman" w:hAnsi="Times New Roman" w:eastAsia="宋体"/>
          <w:b w:val="0"/>
          <w:sz w:val="21"/>
          <w:vertAlign w:val="superscript"/>
        </w:rPr>
        <w:t>[25]</w:t>
      </w:r>
      <w:r>
        <w:rPr>
          <w:rFonts w:ascii="Times New Roman" w:hAnsi="Times New Roman" w:eastAsia="宋体"/>
          <w:b w:val="0"/>
          <w:sz w:val="21"/>
        </w:rPr>
        <w:t>。首先，仅当目标网络相对贴近度超过当前网络一定阈值时，才满足切换必要条件；其次，只有连续多个决策周期满足切换条件时才执行切换。在遥感任务中，一次不必要的乒乓切换可能导致正在传输的图像数据包丢失，并引入额外的网络重连时延。该机制能够过滤短时信道波动，避免切换决策对遥感数据传输造成扰动。</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m）。实验采用LAAVHA单算法模式，记录每次决策的候选网络评分、SINR、当前网络、目标网络和切换标记。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的贡献。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TOPSIS-Q（4.20/8.20次）、Fuzzy-VHO（8.60/3.40次）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