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rPr/>
      </w:pPr>
      <w:r>
        <w:rPr/>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rPr/>
      </w:pPr>
      <w:r>
        <w:rPr/>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rPr/>
      </w:pPr>
      <w:r>
        <w:rPr/>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9144000" cy="240030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9144000" cy="240030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ind w:firstLine="420"/>
        <w:jc w:val="both"/>
      </w:pPr>
      <w:r>
        <w:rPr>
          <w:rFonts w:ascii="Times New Roman" w:hAnsi="Times New Roman" w:eastAsia="宋体"/>
          <w:b w:val="0"/>
          <w:sz w:val="21"/>
        </w:rPr>
        <w:t xml:space="preserve">图4给出了三种方案在20次运行中的平均切换次数对比。完整LAAVHA在20次运行中保持0次切换；移除LSTM预测模块后（LAAVHA-L），平均切换次数为0.5次（标准差0.89），在部分种子下出现了1~2次切换；移除注意力动态权重模块后（LAAVHA-A），平均切换次数为2.0次（标准差0.00），所有种子均发生2次切换。三种方案的最终接入网络均为5G。</w:t>
      </w:r>
    </w:p>
    <w:p>
      <w:pPr>
        <w:ind w:firstLine="420"/>
        <w:jc w:val="both"/>
      </w:pPr>
      <w:r>
        <w:rPr>
          <w:rFonts w:ascii="Times New Roman" w:hAnsi="Times New Roman" w:eastAsia="宋体"/>
          <w:b w:val="0"/>
          <w:sz w:val="21"/>
        </w:rPr>
        <w:t xml:space="preserve">消融实验切换次数统计如下：完整LAAVHA在20次运行中保持0次切换（标准差0.00）；移除LSTM预测模块后（LAAVHA-L），平均切换次数为0.5次（标准差0.89），在部分种子下出现1~2次切换；移除注意力动态权重模块后（LAAVHA-A），平均切换次数为2.0次（标准差0.00），所有20个种子均发生2次切换。三种方案的最终接入网络均为5G。</w:t>
      </w:r>
    </w:p>
    <w:p>
      <w:pPr>
        <w:ind w:firstLine="420"/>
        <w:jc w:val="both"/>
      </w:pPr>
      <w:r>
        <w:rPr>
          <w:rFonts w:ascii="Times New Roman" w:hAnsi="Times New Roman" w:eastAsia="宋体"/>
          <w:b w:val="0"/>
          <w:sz w:val="21"/>
        </w:rPr>
        <w:t xml:space="preserve">上述结果表明，LSTM预测模块和注意力动态权重模块对LAAVHA零切换的贡献具有显著的协同效应——单独保留任一模块均无法完全抑制乒乓切换。注意力模块的缺失对切换次数的影响更为显著（从0次增至2.0次），说明在遥感巡航场景下动态权重调节对区分不同飞行阶段的网络需求具有不可替代的作用。</w:t>
      </w:r>
    </w:p>
    <w:p>
      <w:pPr>
        <w:pStyle w:val="Normal"/>
        <w:jc w:val="center"/>
        <w:rPr/>
      </w:pPr>
      <w:r>
        <w:rPr/>
        <w:drawing>
          <wp:inline distT="0" distB="0" distL="0" distR="0">
            <wp:extent cx="51206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120640" cy="3671570"/>
                    </a:xfrm>
                    <a:prstGeom prst="rect">
                      <a:avLst/>
                    </a:prstGeom>
                  </pic:spPr>
                </pic:pic>
              </a:graphicData>
            </a:graphic>
          </wp:inline>
        </w:drawing>
      </w:r>
    </w:p>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4 20</w:t>
      </w:r>
      <w:r>
        <w:rPr>
          <w:rFonts w:ascii="Times New Roman" w:hAnsi="Times New Roman" w:eastAsia="黑体"/>
          <w:b w:val="false"/>
          <w:sz w:val="19"/>
        </w:rPr>
        <w:t>次运行统计结果</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统计项</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结果</w:t>
            </w:r>
          </w:p>
        </w:tc>
      </w:tr>
      <w:tr>
        <w:trPr/>
        <w:tc>
          <w:tcPr>
            <w:tcW w:w="4762" w:type="dxa"/>
            <w:tcBorders/>
          </w:tcPr>
          <w:p>
            <w:pPr>
              <w:pStyle w:val="Normal"/>
              <w:spacing w:before="0" w:after="200"/>
              <w:jc w:val="center"/>
              <w:rPr/>
            </w:pPr>
            <w:r>
              <w:rPr>
                <w:rFonts w:ascii="Times New Roman" w:hAnsi="Times New Roman" w:eastAsia="宋体"/>
                <w:b w:val="false"/>
                <w:sz w:val="19"/>
              </w:rPr>
              <w:t>成功运行次数</w:t>
            </w:r>
          </w:p>
        </w:tc>
        <w:tc>
          <w:tcPr>
            <w:tcW w:w="4761" w:type="dxa"/>
            <w:tcBorders/>
          </w:tcPr>
          <w:p>
            <w:pPr>
              <w:pStyle w:val="Normal"/>
              <w:spacing w:before="0" w:after="200"/>
              <w:jc w:val="center"/>
              <w:rPr/>
            </w:pPr>
            <w:r>
              <w:rPr>
                <w:rFonts w:eastAsia="宋体" w:ascii="Times New Roman" w:hAnsi="Times New Roman"/>
                <w:b w:val="false"/>
                <w:sz w:val="19"/>
              </w:rPr>
              <w:t>180/180</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平均切换次数</w:t>
            </w:r>
          </w:p>
        </w:tc>
        <w:tc>
          <w:tcPr>
            <w:tcW w:w="4761" w:type="dxa"/>
            <w:tcBorders/>
          </w:tcPr>
          <w:p>
            <w:pPr>
              <w:pStyle w:val="Normal"/>
              <w:spacing w:before="0" w:after="200"/>
              <w:jc w:val="center"/>
              <w:rPr/>
            </w:pPr>
            <w:r>
              <w:rPr>
                <w:rFonts w:eastAsia="宋体" w:ascii="Times New Roman" w:hAnsi="Times New Roman"/>
                <w:b w:val="false"/>
                <w:sz w:val="19"/>
              </w:rPr>
              <w:t>0.0</w:t>
            </w:r>
          </w:p>
        </w:tc>
      </w:tr>
      <w:tr>
        <w:trPr/>
        <w:tc>
          <w:tcPr>
            <w:tcW w:w="4762" w:type="dxa"/>
            <w:tcBorders/>
          </w:tcPr>
          <w:p>
            <w:pPr>
              <w:pStyle w:val="Normal"/>
              <w:spacing w:before="0" w:after="200"/>
              <w:jc w:val="center"/>
              <w:rPr/>
            </w:pPr>
            <w:r>
              <w:rPr>
                <w:rFonts w:ascii="Times New Roman" w:hAnsi="Times New Roman" w:eastAsia="宋体"/>
                <w:b w:val="false"/>
                <w:sz w:val="19"/>
              </w:rPr>
              <w:t>切换次数分布</w:t>
            </w:r>
          </w:p>
        </w:tc>
        <w:tc>
          <w:tcPr>
            <w:tcW w:w="4761" w:type="dxa"/>
            <w:tcBorders/>
          </w:tcPr>
          <w:p>
            <w:pPr>
              <w:pStyle w:val="Normal"/>
              <w:spacing w:before="0" w:after="200"/>
              <w:jc w:val="center"/>
              <w:rPr/>
            </w:pPr>
            <w:r>
              <w:rPr>
                <w:rFonts w:eastAsia="宋体" w:ascii="Times New Roman" w:hAnsi="Times New Roman"/>
                <w:b w:val="false"/>
                <w:sz w:val="19"/>
              </w:rPr>
              <w:t xml:space="preserve">LAAVHA: </w:t>
            </w:r>
            <w:r>
              <w:rPr>
                <w:rFonts w:ascii="Times New Roman" w:hAnsi="Times New Roman" w:eastAsia="宋体"/>
                <w:b w:val="false"/>
                <w:sz w:val="19"/>
              </w:rPr>
              <w:t>全部</w:t>
            </w:r>
            <w:r>
              <w:rPr>
                <w:rFonts w:eastAsia="宋体" w:ascii="Times New Roman" w:hAnsi="Times New Roman"/>
                <w:b w:val="false"/>
                <w:sz w:val="19"/>
              </w:rPr>
              <w:t>0</w:t>
            </w:r>
            <w:r>
              <w:rPr>
                <w:rFonts w:ascii="Times New Roman" w:hAnsi="Times New Roman" w:eastAsia="宋体"/>
                <w:b w:val="false"/>
                <w:sz w:val="19"/>
              </w:rPr>
              <w:t>次</w:t>
            </w:r>
            <w:r>
              <w:rPr>
                <w:rFonts w:eastAsia="宋体" w:ascii="Times New Roman" w:hAnsi="Times New Roman"/>
                <w:b w:val="false"/>
                <w:sz w:val="19"/>
              </w:rPr>
              <w:t>; TOPSIS-Q: 2~6</w:t>
            </w:r>
            <w:r>
              <w:rPr>
                <w:rFonts w:ascii="Times New Roman" w:hAnsi="Times New Roman" w:eastAsia="宋体"/>
                <w:b w:val="false"/>
                <w:sz w:val="19"/>
              </w:rPr>
              <w:t>次</w:t>
            </w:r>
            <w:r>
              <w:rPr>
                <w:rFonts w:eastAsia="宋体" w:ascii="Times New Roman" w:hAnsi="Times New Roman"/>
                <w:b w:val="false"/>
                <w:sz w:val="19"/>
              </w:rPr>
              <w:t>; GRA: 16~24</w:t>
            </w:r>
            <w:r>
              <w:rPr>
                <w:rFonts w:ascii="Times New Roman" w:hAnsi="Times New Roman" w:eastAsia="宋体"/>
                <w:b w:val="false"/>
                <w:sz w:val="19"/>
              </w:rPr>
              <w:t>次</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最终网络分布</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各算法均以</w:t>
            </w:r>
            <w:r>
              <w:rPr>
                <w:rFonts w:eastAsia="宋体" w:ascii="Times New Roman" w:hAnsi="Times New Roman"/>
                <w:b w:val="false"/>
                <w:sz w:val="19"/>
              </w:rPr>
              <w:t>5G</w:t>
            </w:r>
            <w:r>
              <w:rPr>
                <w:rFonts w:ascii="Times New Roman" w:hAnsi="Times New Roman" w:eastAsia="宋体"/>
                <w:b w:val="false"/>
                <w:sz w:val="19"/>
              </w:rPr>
              <w:t>为主</w:t>
            </w:r>
          </w:p>
        </w:tc>
      </w:tr>
    </w:tbl>
    <w:p>
      <w:pPr>
        <w:pStyle w:val="Normal"/>
        <w:rPr/>
      </w:pPr>
      <w:r>
        <w:rPr/>
      </w:r>
    </w:p>
    <w:p>
      <w:pPr>
        <w:pStyle w:val="Normal"/>
        <w:rPr/>
      </w:pPr>
      <w:r>
        <w:rPr/>
      </w:r>
    </w:p>
    <w:p>
      <w:pPr>
        <w:pStyle w:val="Normal"/>
        <w:ind w:firstLine="420"/>
        <w:jc w:val="both"/>
        <w:rPr/>
      </w:pPr>
      <w:r>
        <w:rPr>
          <w:rFonts w:ascii="Times New Roman" w:hAnsi="Times New Roman" w:eastAsia="宋体"/>
          <w:b w:val="false"/>
          <w:sz w:val="21"/>
        </w:rPr>
        <w:t>完整</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次运行中保持了</w:t>
      </w:r>
      <w:r>
        <w:rPr>
          <w:rFonts w:eastAsia="宋体" w:ascii="Times New Roman" w:hAnsi="Times New Roman"/>
          <w:b w:val="false"/>
          <w:sz w:val="21"/>
        </w:rPr>
        <w:t>0</w:t>
      </w:r>
      <w:r>
        <w:rPr>
          <w:rFonts w:ascii="Times New Roman" w:hAnsi="Times New Roman" w:eastAsia="宋体"/>
          <w:b w:val="false"/>
          <w:sz w:val="21"/>
        </w:rPr>
        <w:t>次切换，表明双重滞后机制在代理网络场景下能够有效抑制全部不必要的切换触发。</w:t>
      </w:r>
      <w:r>
        <w:rPr>
          <w:rFonts w:eastAsia="宋体" w:ascii="Times New Roman" w:hAnsi="Times New Roman"/>
          <w:b w:val="false"/>
          <w:sz w:val="21"/>
        </w:rPr>
        <w:t>LAAVHA-L</w:t>
      </w:r>
      <w:r>
        <w:rPr>
          <w:rFonts w:ascii="Times New Roman" w:hAnsi="Times New Roman" w:eastAsia="宋体"/>
          <w:b w:val="false"/>
          <w:sz w:val="21"/>
        </w:rPr>
        <w:t>（移除</w:t>
      </w:r>
      <w:r>
        <w:rPr>
          <w:rFonts w:eastAsia="宋体" w:ascii="Times New Roman" w:hAnsi="Times New Roman"/>
          <w:b w:val="false"/>
          <w:sz w:val="21"/>
        </w:rPr>
        <w:t>LSTM</w:t>
      </w:r>
      <w:r>
        <w:rPr>
          <w:rFonts w:ascii="Times New Roman" w:hAnsi="Times New Roman" w:eastAsia="宋体"/>
          <w:b w:val="false"/>
          <w:sz w:val="21"/>
        </w:rPr>
        <w:t>预测模块）的平均切换次数为</w:t>
      </w:r>
      <w:r>
        <w:rPr>
          <w:rFonts w:eastAsia="宋体" w:ascii="Times New Roman" w:hAnsi="Times New Roman"/>
          <w:b w:val="false"/>
          <w:sz w:val="21"/>
        </w:rPr>
        <w:t>0.5</w:t>
      </w:r>
      <w:r>
        <w:rPr>
          <w:rFonts w:ascii="Times New Roman" w:hAnsi="Times New Roman" w:eastAsia="宋体"/>
          <w:b w:val="false"/>
          <w:sz w:val="21"/>
        </w:rPr>
        <w:t>次（标准差</w:t>
      </w:r>
      <w:r>
        <w:rPr>
          <w:rFonts w:eastAsia="宋体" w:ascii="Times New Roman" w:hAnsi="Times New Roman"/>
          <w:b w:val="false"/>
          <w:sz w:val="21"/>
        </w:rPr>
        <w:t>0.89</w:t>
      </w:r>
      <w:r>
        <w:rPr>
          <w:rFonts w:ascii="Times New Roman" w:hAnsi="Times New Roman" w:eastAsia="宋体"/>
          <w:b w:val="false"/>
          <w:sz w:val="21"/>
        </w:rPr>
        <w:t>），在部分种子下出现了</w:t>
      </w:r>
      <w:r>
        <w:rPr>
          <w:rFonts w:eastAsia="宋体" w:ascii="Times New Roman" w:hAnsi="Times New Roman"/>
          <w:b w:val="false"/>
          <w:sz w:val="21"/>
        </w:rPr>
        <w:t>1~2</w:t>
      </w:r>
      <w:r>
        <w:rPr>
          <w:rFonts w:ascii="Times New Roman" w:hAnsi="Times New Roman" w:eastAsia="宋体"/>
          <w:b w:val="false"/>
          <w:sz w:val="21"/>
        </w:rPr>
        <w:t>次切换，说明缺少</w:t>
      </w:r>
      <w:r>
        <w:rPr>
          <w:rFonts w:eastAsia="宋体" w:ascii="Times New Roman" w:hAnsi="Times New Roman"/>
          <w:b w:val="false"/>
          <w:sz w:val="21"/>
        </w:rPr>
        <w:t>LSTM</w:t>
      </w:r>
      <w:r>
        <w:rPr>
          <w:rFonts w:ascii="Times New Roman" w:hAnsi="Times New Roman" w:eastAsia="宋体"/>
          <w:b w:val="false"/>
          <w:sz w:val="21"/>
        </w:rPr>
        <w:t>预测会导致在</w:t>
      </w:r>
      <w:r>
        <w:rPr>
          <w:rFonts w:eastAsia="宋体" w:ascii="Times New Roman" w:hAnsi="Times New Roman"/>
          <w:b w:val="false"/>
          <w:sz w:val="21"/>
        </w:rPr>
        <w:t>WiFi</w:t>
      </w:r>
      <w:r>
        <w:rPr>
          <w:rFonts w:ascii="Times New Roman" w:hAnsi="Times New Roman" w:eastAsia="宋体"/>
          <w:b w:val="false"/>
          <w:sz w:val="21"/>
        </w:rPr>
        <w:t>覆盖边缘附近的决策滞后——当无人机接近</w:t>
      </w:r>
      <w:r>
        <w:rPr>
          <w:rFonts w:eastAsia="宋体" w:ascii="Times New Roman" w:hAnsi="Times New Roman"/>
          <w:b w:val="false"/>
          <w:sz w:val="21"/>
        </w:rPr>
        <w:t>WiFi</w:t>
      </w:r>
      <w:r>
        <w:rPr>
          <w:rFonts w:ascii="Times New Roman" w:hAnsi="Times New Roman" w:eastAsia="宋体"/>
          <w:b w:val="false"/>
          <w:sz w:val="21"/>
        </w:rPr>
        <w:t>覆盖边界时，若仅依赖当前状态（无预测前瞻），评分可能在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之间出现短暂振荡，触发非必要的切换。</w:t>
      </w:r>
      <w:r>
        <w:rPr>
          <w:rFonts w:eastAsia="宋体" w:ascii="Times New Roman" w:hAnsi="Times New Roman"/>
          <w:b w:val="false"/>
          <w:sz w:val="21"/>
        </w:rPr>
        <w:t>LAAVHA-A</w:t>
      </w:r>
      <w:r>
        <w:rPr>
          <w:rFonts w:ascii="Times New Roman" w:hAnsi="Times New Roman" w:eastAsia="宋体"/>
          <w:b w:val="false"/>
          <w:sz w:val="21"/>
        </w:rPr>
        <w:t>（移除注意力动态权重，改用等权重）的平均切换次数为</w:t>
      </w:r>
      <w:r>
        <w:rPr>
          <w:rFonts w:eastAsia="宋体" w:ascii="Times New Roman" w:hAnsi="Times New Roman"/>
          <w:b w:val="false"/>
          <w:sz w:val="21"/>
        </w:rPr>
        <w:t>2.0</w:t>
      </w:r>
      <w:r>
        <w:rPr>
          <w:rFonts w:ascii="Times New Roman" w:hAnsi="Times New Roman" w:eastAsia="宋体"/>
          <w:b w:val="false"/>
          <w:sz w:val="21"/>
        </w:rPr>
        <w:t>次（标准差</w:t>
      </w:r>
      <w:r>
        <w:rPr>
          <w:rFonts w:eastAsia="宋体" w:ascii="Times New Roman" w:hAnsi="Times New Roman"/>
          <w:b w:val="false"/>
          <w:sz w:val="21"/>
        </w:rPr>
        <w:t>0.00</w:t>
      </w:r>
      <w:r>
        <w:rPr>
          <w:rFonts w:ascii="Times New Roman" w:hAnsi="Times New Roman" w:eastAsia="宋体"/>
          <w:b w:val="false"/>
          <w:sz w:val="21"/>
        </w:rPr>
        <w:t>），在所有</w:t>
      </w:r>
      <w:r>
        <w:rPr>
          <w:rFonts w:eastAsia="宋体" w:ascii="Times New Roman" w:hAnsi="Times New Roman"/>
          <w:b w:val="false"/>
          <w:sz w:val="21"/>
        </w:rPr>
        <w:t>20</w:t>
      </w:r>
      <w:r>
        <w:rPr>
          <w:rFonts w:ascii="Times New Roman" w:hAnsi="Times New Roman" w:eastAsia="宋体"/>
          <w:b w:val="false"/>
          <w:sz w:val="21"/>
        </w:rPr>
        <w:t>次运行中均发生了</w:t>
      </w:r>
      <w:r>
        <w:rPr>
          <w:rFonts w:eastAsia="宋体" w:ascii="Times New Roman" w:hAnsi="Times New Roman"/>
          <w:b w:val="false"/>
          <w:sz w:val="21"/>
        </w:rPr>
        <w:t>2</w:t>
      </w:r>
      <w:r>
        <w:rPr>
          <w:rFonts w:ascii="Times New Roman" w:hAnsi="Times New Roman" w:eastAsia="宋体"/>
          <w:b w:val="false"/>
          <w:sz w:val="21"/>
        </w:rPr>
        <w:t>次切换，说明固定权重无法根据遥感巡航的不同飞行阶段调整属性优先级，导致在某些决策周期（如靠近拍摄点的图像回传阶段）选择了次优网络。两组消融结果共同表明，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的零切换贡献具有显著的协同效应——单独保留任一模块均无法完全抑制乒乓切换。</w:t>
      </w:r>
    </w:p>
    &gt;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面向无人机遥感监测中的广域多网络切换需求，研究了基于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自适应垂直切换方法。该方法利用堆叠</w:t>
      </w:r>
      <w:r>
        <w:rPr>
          <w:rFonts w:eastAsia="宋体" w:ascii="Times New Roman" w:hAnsi="Times New Roman"/>
          <w:b w:val="false"/>
          <w:sz w:val="21"/>
        </w:rPr>
        <w:t>LSTM</w:t>
      </w:r>
      <w:r>
        <w:rPr>
          <w:rFonts w:ascii="Times New Roman" w:hAnsi="Times New Roman" w:eastAsia="宋体"/>
          <w:b w:val="false"/>
          <w:sz w:val="21"/>
        </w:rPr>
        <w:t>预测候选网络状态的短期变化趋势，通过注意力机制根据飞行阶段自适应生成动态属性权重，结合融合决策矩阵与改进</w:t>
      </w:r>
      <w:r>
        <w:rPr>
          <w:rFonts w:eastAsia="宋体" w:ascii="Times New Roman" w:hAnsi="Times New Roman"/>
          <w:b w:val="false"/>
          <w:sz w:val="21"/>
        </w:rPr>
        <w:t>TOPSIS</w:t>
      </w:r>
      <w:r>
        <w:rPr>
          <w:rFonts w:ascii="Times New Roman" w:hAnsi="Times New Roman" w:eastAsia="宋体"/>
          <w:b w:val="false"/>
          <w:sz w:val="21"/>
        </w:rPr>
        <w:t>完成候选网络选择，并通过双重滞后机制抑制乒乓切换对遥感数据传输的干扰。基于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的决策级实验表明：在</w:t>
      </w:r>
      <w:r>
        <w:rPr>
          <w:rFonts w:eastAsia="宋体" w:ascii="Times New Roman" w:hAnsi="Times New Roman"/>
          <w:b w:val="false"/>
          <w:sz w:val="21"/>
        </w:rPr>
        <w:t>20</w:t>
      </w:r>
      <w:r>
        <w:rPr>
          <w:rFonts w:ascii="Times New Roman" w:hAnsi="Times New Roman" w:eastAsia="宋体"/>
          <w:b w:val="false"/>
          <w:sz w:val="21"/>
        </w:rPr>
        <w:t>组不同初始位置和航线的随机场景下，</w:t>
      </w:r>
      <w:r>
        <w:rPr>
          <w:rFonts w:eastAsia="宋体" w:ascii="Times New Roman" w:hAnsi="Times New Roman"/>
          <w:b w:val="false"/>
          <w:sz w:val="21"/>
        </w:rPr>
        <w:t>LAAVHA</w:t>
      </w:r>
      <w:r>
        <w:rPr>
          <w:rFonts w:ascii="Times New Roman" w:hAnsi="Times New Roman" w:eastAsia="宋体"/>
          <w:b w:val="false"/>
          <w:sz w:val="21"/>
        </w:rPr>
        <w:t>能够利用双重滞后机制有效过滤瞬时信道波动，平均切换次数为</w:t>
      </w:r>
      <w:r>
        <w:rPr>
          <w:rFonts w:eastAsia="宋体" w:ascii="Times New Roman" w:hAnsi="Times New Roman"/>
          <w:b w:val="false"/>
          <w:sz w:val="21"/>
        </w:rPr>
        <w:t>0</w:t>
      </w:r>
      <w:r>
        <w:rPr>
          <w:rFonts w:ascii="Times New Roman" w:hAnsi="Times New Roman" w:eastAsia="宋体"/>
          <w:b w:val="false"/>
          <w:sz w:val="21"/>
        </w:rPr>
        <w:t>次，在所有</w:t>
      </w:r>
      <w:r>
        <w:rPr>
          <w:rFonts w:eastAsia="宋体" w:ascii="Times New Roman" w:hAnsi="Times New Roman"/>
          <w:b w:val="false"/>
          <w:sz w:val="21"/>
        </w:rPr>
        <w:t>9</w:t>
      </w:r>
      <w:r>
        <w:rPr>
          <w:rFonts w:ascii="Times New Roman" w:hAnsi="Times New Roman" w:eastAsia="宋体"/>
          <w:b w:val="false"/>
          <w:sz w:val="21"/>
        </w:rPr>
        <w:t>种算法中保持最优——具体而言，</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3.9</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19.6</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13.6</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25.6</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23.1</w:t>
      </w:r>
      <w:r>
        <w:rPr>
          <w:rFonts w:ascii="Times New Roman" w:hAnsi="Times New Roman" w:eastAsia="宋体"/>
          <w:b w:val="false"/>
          <w:sz w:val="21"/>
        </w:rPr>
        <w:t>次、最强信号法为</w:t>
      </w:r>
      <w:r>
        <w:rPr>
          <w:rFonts w:eastAsia="宋体" w:ascii="Times New Roman" w:hAnsi="Times New Roman"/>
          <w:b w:val="false"/>
          <w:sz w:val="21"/>
        </w:rPr>
        <w:t>1.7</w:t>
      </w:r>
      <w:r>
        <w:rPr>
          <w:rFonts w:ascii="Times New Roman" w:hAnsi="Times New Roman" w:eastAsia="宋体"/>
          <w:b w:val="false"/>
          <w:sz w:val="21"/>
        </w:rPr>
        <w:t>次，</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0.5</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w:t>
      </w:r>
      <w:r>
        <w:rPr>
          <w:rFonts w:ascii="Times New Roman" w:hAnsi="Times New Roman" w:eastAsia="宋体"/>
          <w:b w:val="false"/>
          <w:sz w:val="21"/>
        </w:rPr>
        <w:t>次，最终网络均稳定接入</w:t>
      </w:r>
      <w:r>
        <w:rPr>
          <w:rFonts w:eastAsia="宋体" w:ascii="Times New Roman" w:hAnsi="Times New Roman"/>
          <w:b w:val="false"/>
          <w:sz w:val="21"/>
        </w:rPr>
        <w:t>5G</w:t>
      </w:r>
      <w:r>
        <w:rPr>
          <w:rFonts w:ascii="Times New Roman" w:hAnsi="Times New Roman" w:eastAsia="宋体"/>
          <w:b w:val="false"/>
          <w:sz w:val="21"/>
        </w:rPr>
        <w:t>，保障了遥感图像和飞控数据的连续传输。消融实验进一步确认了</w:t>
      </w:r>
      <w:r>
        <w:rPr>
          <w:rFonts w:eastAsia="宋体" w:ascii="Times New Roman" w:hAnsi="Times New Roman"/>
          <w:b w:val="false"/>
          <w:sz w:val="21"/>
        </w:rPr>
        <w:t>LSTM</w:t>
      </w:r>
      <w:r>
        <w:rPr>
          <w:rFonts w:ascii="Times New Roman" w:hAnsi="Times New Roman" w:eastAsia="宋体"/>
          <w:b w:val="false"/>
          <w:sz w:val="21"/>
        </w:rPr>
        <w:t>预测模块和注意力动态权重模块对决策稳定性和遥感数据可靠传输的协同贡献。</w:t>
      </w:r>
    </w:p>
    <w:p>
      <w:pPr>
        <w:pStyle w:val="Normal"/>
        <w:ind w:firstLine="420"/>
        <w:jc w:val="both"/>
        <w:rPr/>
      </w:pPr>
      <w:r>
        <w:rPr>
          <w:rFonts w:ascii="Times New Roman" w:hAnsi="Times New Roman" w:eastAsia="宋体"/>
          <w:b w:val="false"/>
          <w:sz w:val="21"/>
        </w:rPr>
        <w:t>当前实验仍存在以下局限：</w:t>
      </w:r>
      <w:r>
        <w:rPr>
          <w:rFonts w:eastAsia="宋体" w:ascii="Times New Roman" w:hAnsi="Times New Roman"/>
          <w:b w:val="false"/>
          <w:sz w:val="21"/>
        </w:rPr>
        <w:t>5G</w:t>
      </w:r>
      <w:r>
        <w:rPr>
          <w:rFonts w:ascii="Times New Roman" w:hAnsi="Times New Roman" w:eastAsia="宋体"/>
          <w:b w:val="false"/>
          <w:sz w:val="21"/>
        </w:rPr>
        <w:t>候选网络采用代理链路表示，并非真实</w:t>
      </w:r>
      <w:r>
        <w:rPr>
          <w:rFonts w:eastAsia="宋体" w:ascii="Times New Roman" w:hAnsi="Times New Roman"/>
          <w:b w:val="false"/>
          <w:sz w:val="21"/>
        </w:rPr>
        <w:t>NR</w:t>
      </w:r>
      <w:r>
        <w:rPr>
          <w:rFonts w:ascii="Times New Roman" w:hAnsi="Times New Roman" w:eastAsia="宋体"/>
          <w:b w:val="false"/>
          <w:sz w:val="21"/>
        </w:rPr>
        <w:t>协议栈</w:t>
      </w:r>
      <w:r>
        <w:rPr>
          <w:rFonts w:eastAsia="宋体" w:ascii="Times New Roman" w:hAnsi="Times New Roman"/>
          <w:b w:val="false"/>
          <w:sz w:val="21"/>
          <w:vertAlign w:val="superscript"/>
        </w:rPr>
        <w:t>[27]</w:t>
      </w:r>
      <w:r>
        <w:rPr>
          <w:rFonts w:ascii="Times New Roman" w:hAnsi="Times New Roman" w:eastAsia="宋体"/>
          <w:b w:val="false"/>
          <w:sz w:val="21"/>
        </w:rPr>
        <w:t>；切换记录为决策层网络编号变化，尚未执行真实协议层</w:t>
      </w:r>
      <w:r>
        <w:rPr>
          <w:rFonts w:eastAsia="宋体" w:ascii="Times New Roman" w:hAnsi="Times New Roman"/>
          <w:b w:val="false"/>
          <w:sz w:val="21"/>
        </w:rPr>
        <w:t>attach/detach</w:t>
      </w:r>
      <w:r>
        <w:rPr>
          <w:rFonts w:ascii="Times New Roman" w:hAnsi="Times New Roman" w:eastAsia="宋体"/>
          <w:b w:val="false"/>
          <w:sz w:val="21"/>
        </w:rPr>
        <w:t>过程；随机性主要来自初始位置和高度扰动，尚未引入更复杂的业务流模型和信道衰落</w:t>
      </w:r>
      <w:r>
        <w:rPr>
          <w:rFonts w:eastAsia="宋体" w:ascii="Times New Roman" w:hAnsi="Times New Roman"/>
          <w:b w:val="false"/>
          <w:sz w:val="21"/>
          <w:vertAlign w:val="superscript"/>
        </w:rPr>
        <w:t>[28]</w:t>
      </w:r>
      <w:r>
        <w:rPr>
          <w:rFonts w:ascii="Times New Roman" w:hAnsi="Times New Roman" w:eastAsia="宋体"/>
          <w:b w:val="false"/>
          <w:sz w:val="21"/>
        </w:rPr>
        <w:t>。后续将进一步引入真实</w:t>
      </w:r>
      <w:r>
        <w:rPr>
          <w:rFonts w:eastAsia="宋体" w:ascii="Times New Roman" w:hAnsi="Times New Roman"/>
          <w:b w:val="false"/>
          <w:sz w:val="21"/>
        </w:rPr>
        <w:t>5G NR</w:t>
      </w:r>
      <w:r>
        <w:rPr>
          <w:rFonts w:ascii="Times New Roman" w:hAnsi="Times New Roman" w:eastAsia="宋体"/>
          <w:b w:val="false"/>
          <w:sz w:val="21"/>
        </w:rPr>
        <w:t>模块和协议级切换执行机制，开展不同遥感任务剖面（多航线、变高度、多机协同）下的算法适应性验证，以及信道衰落、气象条件和通信干扰等因素对遥感数据回传可靠性的影响分析。</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13</Pages>
  <Words>8254</Words>
  <Characters>16186</Characters>
  <CharactersWithSpaces>17949</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2026-06-04T11:11:57Z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