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面向无人异构网络的</w:t>
      </w:r>
      <w:r>
        <w:rPr>
          <w:rFonts w:eastAsia="黑体" w:ascii="Times New Roman" w:hAnsi="Times New Roman"/>
          <w:b/>
          <w:sz w:val="36"/>
        </w:rPr>
        <w:t>LSTM-Attention</w:t>
      </w:r>
      <w:r>
        <w:rPr>
          <w:rFonts w:ascii="Times New Roman" w:hAnsi="Times New Roman" w:eastAsia="黑体"/>
          <w:b/>
          <w:sz w:val="36"/>
        </w:rPr>
        <w:t>自适应垂直切换方法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w:t>
      </w:r>
      <w:r>
        <w:rPr>
          <w:rFonts w:eastAsia="黑体" w:ascii="Times New Roman" w:hAnsi="Times New Roman"/>
          <w:b/>
          <w:sz w:val="21"/>
        </w:rPr>
        <w:t>LAAVHA / LAAVHA-enhanced</w:t>
      </w:r>
      <w:r>
        <w:rPr>
          <w:rFonts w:ascii="Times New Roman" w:hAnsi="Times New Roman" w:eastAsia="黑体"/>
          <w:b/>
          <w:sz w:val="21"/>
        </w:rPr>
        <w:t>）。该方法利用堆叠长短期记忆网络预测候选网络短期状态变化，通过多头注意力机制动态生成属性权重，融合当前与预测状态构建改进逼近理想解排序决策矩阵，并结合双重滞后机制抑制不必要切换。基于</w:t>
      </w:r>
      <w:r>
        <w:rPr>
          <w:rFonts w:eastAsia="黑体" w:ascii="Times New Roman" w:hAnsi="Times New Roman"/>
          <w:b/>
          <w:sz w:val="21"/>
        </w:rPr>
        <w:t>ns-3</w:t>
      </w:r>
      <w:r>
        <w:rPr>
          <w:rFonts w:ascii="Times New Roman" w:hAnsi="Times New Roman" w:eastAsia="黑体"/>
          <w:b/>
          <w:sz w:val="21"/>
        </w:rPr>
        <w:t>与</w:t>
      </w:r>
      <w:r>
        <w:rPr>
          <w:rFonts w:eastAsia="黑体" w:ascii="Times New Roman" w:hAnsi="Times New Roman"/>
          <w:b/>
          <w:sz w:val="21"/>
        </w:rPr>
        <w:t>ns3-ai</w:t>
      </w:r>
      <w:r>
        <w:rPr>
          <w:rFonts w:ascii="Times New Roman" w:hAnsi="Times New Roman" w:eastAsia="黑体"/>
          <w:b/>
          <w:sz w:val="21"/>
        </w:rPr>
        <w:t>搭建决策级实验平台，完成</w:t>
      </w:r>
      <w:r>
        <w:rPr>
          <w:rFonts w:eastAsia="黑体" w:ascii="Times New Roman" w:hAnsi="Times New Roman"/>
          <w:b/>
          <w:sz w:val="21"/>
        </w:rPr>
        <w:t>20</w:t>
      </w:r>
      <w:r>
        <w:rPr>
          <w:rFonts w:ascii="Times New Roman" w:hAnsi="Times New Roman" w:eastAsia="黑体"/>
          <w:b/>
          <w:sz w:val="21"/>
        </w:rPr>
        <w:t>组随机种子推理实验。结果表明，该方法在代理异构网络场景下形成稳定的候选网络评分与切换决策，平均切换次数为</w:t>
      </w:r>
      <w:r>
        <w:rPr>
          <w:rFonts w:eastAsia="黑体" w:ascii="Times New Roman" w:hAnsi="Times New Roman"/>
          <w:b/>
          <w:sz w:val="21"/>
        </w:rPr>
        <w:t>0</w:t>
      </w:r>
      <w:r>
        <w:rPr>
          <w:rFonts w:ascii="Times New Roman" w:hAnsi="Times New Roman" w:eastAsia="黑体"/>
          <w:b/>
          <w:sz w:val="21"/>
        </w:rPr>
        <w:t>次（在</w:t>
      </w:r>
      <w:r>
        <w:rPr>
          <w:rFonts w:eastAsia="黑体" w:ascii="Times New Roman" w:hAnsi="Times New Roman"/>
          <w:b/>
          <w:sz w:val="21"/>
        </w:rPr>
        <w:t>20</w:t>
      </w:r>
      <w:r>
        <w:rPr>
          <w:rFonts w:ascii="Times New Roman" w:hAnsi="Times New Roman" w:eastAsia="黑体"/>
          <w:b/>
          <w:sz w:val="21"/>
        </w:rPr>
        <w:t>组随机种子中均未发生切换）。与</w:t>
      </w:r>
      <w:r>
        <w:rPr>
          <w:rFonts w:eastAsia="黑体" w:ascii="Times New Roman" w:hAnsi="Times New Roman"/>
          <w:b/>
          <w:sz w:val="21"/>
        </w:rPr>
        <w:t>TOPSIS-Q</w:t>
      </w:r>
      <w:r>
        <w:rPr>
          <w:rFonts w:ascii="Times New Roman" w:hAnsi="Times New Roman" w:eastAsia="黑体"/>
          <w:b/>
          <w:sz w:val="21"/>
        </w:rPr>
        <w:t>、</w:t>
      </w:r>
      <w:r>
        <w:rPr>
          <w:rFonts w:eastAsia="黑体" w:ascii="Times New Roman" w:hAnsi="Times New Roman"/>
          <w:b/>
          <w:sz w:val="21"/>
        </w:rPr>
        <w:t>VIKOR</w:t>
      </w:r>
      <w:r>
        <w:rPr>
          <w:rFonts w:ascii="Times New Roman" w:hAnsi="Times New Roman" w:eastAsia="黑体"/>
          <w:b/>
          <w:sz w:val="21"/>
        </w:rPr>
        <w:t>、</w:t>
      </w:r>
      <w:r>
        <w:rPr>
          <w:rFonts w:eastAsia="黑体" w:ascii="Times New Roman" w:hAnsi="Times New Roman"/>
          <w:b/>
          <w:sz w:val="21"/>
        </w:rPr>
        <w:t>GRA</w:t>
      </w:r>
      <w:r>
        <w:rPr>
          <w:rFonts w:ascii="Times New Roman" w:hAnsi="Times New Roman" w:eastAsia="黑体"/>
          <w:b/>
          <w:sz w:val="21"/>
        </w:rPr>
        <w:t>、</w:t>
      </w:r>
      <w:r>
        <w:rPr>
          <w:rFonts w:eastAsia="黑体" w:ascii="Times New Roman" w:hAnsi="Times New Roman"/>
          <w:b/>
          <w:sz w:val="21"/>
        </w:rPr>
        <w:t>COPRAS</w:t>
      </w:r>
      <w:r>
        <w:rPr>
          <w:rFonts w:ascii="Times New Roman" w:hAnsi="Times New Roman" w:eastAsia="黑体"/>
          <w:b/>
          <w:sz w:val="21"/>
        </w:rPr>
        <w:t>、</w:t>
      </w:r>
      <w:r>
        <w:rPr>
          <w:rFonts w:eastAsia="黑体" w:ascii="Times New Roman" w:hAnsi="Times New Roman"/>
          <w:b/>
          <w:sz w:val="21"/>
        </w:rPr>
        <w:t>SPOTIS</w:t>
      </w:r>
      <w:r>
        <w:rPr>
          <w:rFonts w:ascii="Times New Roman" w:hAnsi="Times New Roman" w:eastAsia="黑体"/>
          <w:b/>
          <w:sz w:val="21"/>
        </w:rPr>
        <w:t>及最强信号法等</w:t>
      </w:r>
      <w:r>
        <w:rPr>
          <w:rFonts w:eastAsia="黑体" w:ascii="Times New Roman" w:hAnsi="Times New Roman"/>
          <w:b/>
          <w:sz w:val="21"/>
        </w:rPr>
        <w:t>6</w:t>
      </w:r>
      <w:r>
        <w:rPr>
          <w:rFonts w:ascii="Times New Roman" w:hAnsi="Times New Roman" w:eastAsia="黑体"/>
          <w:b/>
          <w:sz w:val="21"/>
        </w:rPr>
        <w:t>种对比算法的横向对比以及</w:t>
      </w:r>
      <w:r>
        <w:rPr>
          <w:rFonts w:eastAsia="黑体" w:ascii="Times New Roman" w:hAnsi="Times New Roman"/>
          <w:b/>
          <w:sz w:val="21"/>
        </w:rPr>
        <w:t>LAAVHA-L</w:t>
      </w:r>
      <w:r>
        <w:rPr>
          <w:rFonts w:ascii="Times New Roman" w:hAnsi="Times New Roman" w:eastAsia="黑体"/>
          <w:b/>
          <w:sz w:val="21"/>
        </w:rPr>
        <w:t>、</w:t>
      </w:r>
      <w:r>
        <w:rPr>
          <w:rFonts w:eastAsia="黑体" w:ascii="Times New Roman" w:hAnsi="Times New Roman"/>
          <w:b/>
          <w:sz w:val="21"/>
        </w:rPr>
        <w:t>LAAVHA-A</w:t>
      </w:r>
      <w:r>
        <w:rPr>
          <w:rFonts w:ascii="Times New Roman" w:hAnsi="Times New Roman" w:eastAsia="黑体"/>
          <w:b/>
          <w:sz w:val="21"/>
        </w:rPr>
        <w:t>消融实验共同表明，</w:t>
      </w:r>
      <w:r>
        <w:rPr>
          <w:rFonts w:eastAsia="黑体" w:ascii="Times New Roman" w:hAnsi="Times New Roman"/>
          <w:b/>
          <w:sz w:val="21"/>
        </w:rPr>
        <w:t>LAAVHA</w:t>
      </w:r>
      <w:r>
        <w:rPr>
          <w:rFonts w:ascii="Times New Roman" w:hAnsi="Times New Roman" w:eastAsia="黑体"/>
          <w:b/>
          <w:sz w:val="21"/>
        </w:rPr>
        <w:t>在切换次数和服务连续性方面均优于对比方法，验证了</w:t>
      </w:r>
      <w:r>
        <w:rPr>
          <w:rFonts w:eastAsia="黑体" w:ascii="Times New Roman" w:hAnsi="Times New Roman"/>
          <w:b/>
          <w:sz w:val="21"/>
        </w:rPr>
        <w:t>LSTM</w:t>
      </w:r>
      <w:r>
        <w:rPr>
          <w:rFonts w:ascii="Times New Roman" w:hAnsi="Times New Roman" w:eastAsia="黑体"/>
          <w:b/>
          <w:sz w:val="21"/>
        </w:rPr>
        <w:t>预测、注意力权重和双重滞后机制对决策质量的协同贡献。</w:t>
      </w:r>
    </w:p>
    <w:p>
      <w:pPr>
        <w:pStyle w:val="Normal"/>
        <w:rPr/>
      </w:pPr>
      <w:r>
        <w:rPr>
          <w:rFonts w:ascii="Times New Roman" w:hAnsi="Times New Roman" w:eastAsia="黑体"/>
          <w:b/>
          <w:sz w:val="21"/>
        </w:rPr>
        <w:t>关键词：</w:t>
      </w:r>
      <w:r>
        <w:rPr>
          <w:rFonts w:ascii="Times New Roman" w:hAnsi="Times New Roman" w:eastAsia="宋体"/>
          <w:b w:val="false"/>
          <w:sz w:val="21"/>
        </w:rPr>
        <w:t>无人异构网络；垂直切换；长短期记忆网络；注意力机制；逼近理想解排序法；</w:t>
      </w:r>
      <w:r>
        <w:rPr>
          <w:rFonts w:eastAsia="宋体" w:ascii="Times New Roman" w:hAnsi="Times New Roman"/>
          <w:b w:val="false"/>
          <w:sz w:val="21"/>
        </w:rPr>
        <w:t>ns-3</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LSTM-attention based adaptive vertical handover method for unmanned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achieving zero handovers across all 20 random seeds. Compared with six baseline algorithms (TOPSIS-Q, VIKOR, GRA, COPRAS, SPOTIS,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pPr>
        <w:pStyle w:val="Normal"/>
        <w:rPr/>
      </w:pPr>
      <w:r>
        <w:rPr>
          <w:rFonts w:eastAsia="Times New Roman" w:ascii="Times New Roman" w:hAnsi="Times New Roman"/>
          <w:b/>
          <w:sz w:val="21"/>
        </w:rPr>
        <w:t xml:space="preserve">Key words: </w:t>
      </w:r>
      <w:r>
        <w:rPr>
          <w:rFonts w:eastAsia="Times New Roman" w:ascii="Times New Roman" w:hAnsi="Times New Roman"/>
          <w:b w:val="false"/>
          <w:sz w:val="21"/>
        </w:rPr>
        <w:t>unmanned heterogeneous network, vertical handover, long short-term memory, attention mechanism, technique for order preference by similarity to ideal solution, ns-3</w:t>
      </w:r>
    </w:p>
    <w:p>
      <w:pPr>
        <w:pStyle w:val="Normal"/>
        <w:rPr>
          <w:rFonts w:ascii="Times New Roman" w:hAnsi="Times New Roman" w:eastAsia="Times New Roman"/>
          <w:b w:val="false"/>
          <w:sz w:val="21"/>
        </w:rPr>
      </w:pPr>
      <w:r>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w:t>
      </w:r>
      <w:r>
        <w:rPr>
          <w:rFonts w:eastAsia="宋体" w:ascii="Times New Roman" w:hAnsi="Times New Roman"/>
          <w:b w:val="false"/>
          <w:sz w:val="21"/>
        </w:rPr>
        <w:t>UAV, unmanned aerial vehicle</w:t>
      </w:r>
      <w:r>
        <w:rPr>
          <w:rFonts w:ascii="Times New Roman" w:hAnsi="Times New Roman" w:eastAsia="宋体"/>
          <w:b w:val="false"/>
          <w:sz w:val="21"/>
        </w:rPr>
        <w:t>）遥感监测系统正广泛应用于灾害评估、农业普查和环境监测等大范围对地观测场景。在此类任务中，单架无人机巡航半径通常达数公里，飞行高度为</w:t>
      </w:r>
      <w:r>
        <w:rPr>
          <w:rFonts w:eastAsia="宋体" w:ascii="Times New Roman" w:hAnsi="Times New Roman"/>
          <w:b w:val="false"/>
          <w:sz w:val="21"/>
        </w:rPr>
        <w:t>50~150 m</w:t>
      </w:r>
      <w:r>
        <w:rPr>
          <w:rFonts w:ascii="Times New Roman" w:hAnsi="Times New Roman" w:eastAsia="宋体"/>
          <w:b w:val="false"/>
          <w:sz w:val="21"/>
        </w:rPr>
        <w:t>，需定期拍摄高分辨率遥感图像（单张可达数</w:t>
      </w:r>
      <w:r>
        <w:rPr>
          <w:rFonts w:eastAsia="宋体" w:ascii="Times New Roman" w:hAnsi="Times New Roman"/>
          <w:b w:val="false"/>
          <w:sz w:val="21"/>
        </w:rPr>
        <w:t>MB</w:t>
      </w:r>
      <w:r>
        <w:rPr>
          <w:rFonts w:ascii="Times New Roman" w:hAnsi="Times New Roman" w:eastAsia="宋体"/>
          <w:b w:val="false"/>
          <w:sz w:val="21"/>
        </w:rPr>
        <w:t>）并通过无线链路回传至地面站，同时接收飞行控制指令。由于单一无线网络难以在如此大范围内提供无缝覆盖——</w:t>
      </w:r>
      <w:r>
        <w:rPr>
          <w:rFonts w:eastAsia="宋体" w:ascii="Times New Roman" w:hAnsi="Times New Roman"/>
          <w:b w:val="false"/>
          <w:sz w:val="21"/>
        </w:rPr>
        <w:t>WiFi</w:t>
      </w:r>
      <w:r>
        <w:rPr>
          <w:rFonts w:ascii="Times New Roman" w:hAnsi="Times New Roman" w:eastAsia="宋体"/>
          <w:b w:val="false"/>
          <w:sz w:val="21"/>
        </w:rPr>
        <w:t>热点覆盖半径通常不超过</w:t>
      </w:r>
      <w:r>
        <w:rPr>
          <w:rFonts w:eastAsia="宋体" w:ascii="Times New Roman" w:hAnsi="Times New Roman"/>
          <w:b w:val="false"/>
          <w:sz w:val="21"/>
        </w:rPr>
        <w:t>200 m</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基站在郊区部署稀疏，</w:t>
      </w:r>
      <w:r>
        <w:rPr>
          <w:rFonts w:eastAsia="宋体" w:ascii="Times New Roman" w:hAnsi="Times New Roman"/>
          <w:b w:val="false"/>
          <w:sz w:val="21"/>
        </w:rPr>
        <w:t>5G</w:t>
      </w:r>
      <w:r>
        <w:rPr>
          <w:rFonts w:ascii="Times New Roman" w:hAnsi="Times New Roman" w:eastAsia="宋体"/>
          <w:b w:val="false"/>
          <w:sz w:val="21"/>
        </w:rPr>
        <w:t>网络覆盖尚不完善——无人机在执行一次完整的遥感巡航任务中必然穿越多个网络的覆盖边界</w:t>
      </w:r>
      <w:r>
        <w:rPr>
          <w:rFonts w:eastAsia="宋体" w:ascii="Times New Roman" w:hAnsi="Times New Roman"/>
          <w:b w:val="false"/>
          <w:sz w:val="21"/>
          <w:vertAlign w:val="superscript"/>
        </w:rPr>
        <w:t>[1-2]</w:t>
      </w:r>
      <w:r>
        <w:rPr>
          <w:rFonts w:ascii="Times New Roman" w:hAnsi="Times New Roman" w:eastAsia="宋体"/>
          <w:b w:val="false"/>
          <w:sz w:val="21"/>
        </w:rPr>
        <w:t>。因此，无人节点需要在第五代移动通信（</w:t>
      </w:r>
      <w:r>
        <w:rPr>
          <w:rFonts w:eastAsia="宋体" w:ascii="Times New Roman" w:hAnsi="Times New Roman"/>
          <w:b w:val="false"/>
          <w:sz w:val="21"/>
        </w:rPr>
        <w:t>5G, the 5th generation mobile communication</w:t>
      </w:r>
      <w:r>
        <w:rPr>
          <w:rFonts w:ascii="Times New Roman" w:hAnsi="Times New Roman" w:eastAsia="宋体"/>
          <w:b w:val="false"/>
          <w:sz w:val="21"/>
        </w:rPr>
        <w:t>）、长期演进（</w:t>
      </w:r>
      <w:r>
        <w:rPr>
          <w:rFonts w:eastAsia="宋体" w:ascii="Times New Roman" w:hAnsi="Times New Roman"/>
          <w:b w:val="false"/>
          <w:sz w:val="21"/>
        </w:rPr>
        <w:t>LTE, long term evolution</w:t>
      </w:r>
      <w:r>
        <w:rPr>
          <w:rFonts w:ascii="Times New Roman" w:hAnsi="Times New Roman" w:eastAsia="宋体"/>
          <w:b w:val="false"/>
          <w:sz w:val="21"/>
        </w:rPr>
        <w:t>）和无线局域网（</w:t>
      </w:r>
      <w:r>
        <w:rPr>
          <w:rFonts w:eastAsia="宋体" w:ascii="Times New Roman" w:hAnsi="Times New Roman"/>
          <w:b w:val="false"/>
          <w:sz w:val="21"/>
        </w:rPr>
        <w:t>WiFi, wireless fidelity</w:t>
      </w:r>
      <w:r>
        <w:rPr>
          <w:rFonts w:ascii="Times New Roman" w:hAnsi="Times New Roman" w:eastAsia="宋体"/>
          <w:b w:val="false"/>
          <w:sz w:val="21"/>
        </w:rPr>
        <w:t>）等多种无线接入网络之间按需切换，以保障遥感图像回传和指挥控制链路的连续性</w:t>
      </w:r>
      <w:r>
        <w:rPr>
          <w:rFonts w:eastAsia="宋体" w:ascii="Times New Roman" w:hAnsi="Times New Roman"/>
          <w:b w:val="false"/>
          <w:sz w:val="21"/>
          <w:vertAlign w:val="superscript"/>
        </w:rPr>
        <w:t>[3]</w:t>
      </w:r>
      <w:r>
        <w:rPr>
          <w:rFonts w:ascii="Times New Roman" w:hAnsi="Times New Roman" w:eastAsia="宋体"/>
          <w:b w:val="false"/>
          <w:sz w:val="21"/>
        </w:rPr>
        <w:t>。由于不同网络在覆盖范围、传输速率、时延和可靠性方面存在明显差异，无人节点在移动过程中需要根据网络状态及时完成垂直切换（</w:t>
      </w:r>
      <w:r>
        <w:rPr>
          <w:rFonts w:eastAsia="宋体" w:ascii="Times New Roman" w:hAnsi="Times New Roman"/>
          <w:b w:val="false"/>
          <w:sz w:val="21"/>
        </w:rPr>
        <w:t>VHO, vertical handover</w:t>
      </w:r>
      <w:r>
        <w:rPr>
          <w:rFonts w:ascii="Times New Roman" w:hAnsi="Times New Roman" w:eastAsia="宋体"/>
          <w:b w:val="false"/>
          <w:sz w:val="21"/>
        </w:rPr>
        <w:t>），从而避免图像传输中断、控制指令超时或遥感数据缺失</w:t>
      </w:r>
      <w:r>
        <w:rPr>
          <w:rFonts w:eastAsia="宋体" w:ascii="Times New Roman" w:hAnsi="Times New Roman"/>
          <w:b w:val="false"/>
          <w:sz w:val="21"/>
          <w:vertAlign w:val="superscript"/>
        </w:rPr>
        <w:t>[4-5]</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传统垂直切换方法主要包括基于单一信号强度的方法</w:t>
      </w:r>
      <w:r>
        <w:rPr>
          <w:rFonts w:eastAsia="宋体" w:ascii="Times New Roman" w:hAnsi="Times New Roman"/>
          <w:b w:val="false"/>
          <w:sz w:val="21"/>
          <w:vertAlign w:val="superscript"/>
        </w:rPr>
        <w:t>[6]</w:t>
      </w:r>
      <w:r>
        <w:rPr>
          <w:rFonts w:ascii="Times New Roman" w:hAnsi="Times New Roman" w:eastAsia="宋体"/>
          <w:b w:val="false"/>
          <w:sz w:val="21"/>
        </w:rPr>
        <w:t>、基于多属性决策的方法</w:t>
      </w:r>
      <w:r>
        <w:rPr>
          <w:rFonts w:eastAsia="宋体" w:ascii="Times New Roman" w:hAnsi="Times New Roman"/>
          <w:b w:val="false"/>
          <w:sz w:val="21"/>
          <w:vertAlign w:val="superscript"/>
        </w:rPr>
        <w:t>[7-11]</w:t>
      </w:r>
      <w:r>
        <w:rPr>
          <w:rFonts w:ascii="Times New Roman" w:hAnsi="Times New Roman" w:eastAsia="宋体"/>
          <w:b w:val="false"/>
          <w:sz w:val="21"/>
        </w:rPr>
        <w:t>和基于机器学习的方法</w:t>
      </w:r>
      <w:r>
        <w:rPr>
          <w:rFonts w:eastAsia="宋体" w:ascii="Times New Roman" w:hAnsi="Times New Roman"/>
          <w:b w:val="false"/>
          <w:sz w:val="21"/>
          <w:vertAlign w:val="superscript"/>
        </w:rPr>
        <w:t>[12-14]</w:t>
      </w:r>
      <w:r>
        <w:rPr>
          <w:rFonts w:ascii="Times New Roman" w:hAnsi="Times New Roman" w:eastAsia="宋体"/>
          <w:b w:val="false"/>
          <w:sz w:val="21"/>
        </w:rPr>
        <w:t>。基于接收信号强度的方法实现简单，但仅依赖单一指标，难以刻画复杂网络状态，容易在覆盖边缘产生乒乓切换</w:t>
      </w:r>
      <w:r>
        <w:rPr>
          <w:rFonts w:eastAsia="宋体" w:ascii="Times New Roman" w:hAnsi="Times New Roman"/>
          <w:b w:val="false"/>
          <w:sz w:val="21"/>
          <w:vertAlign w:val="superscript"/>
        </w:rPr>
        <w:t>[6]</w:t>
      </w:r>
      <w:r>
        <w:rPr>
          <w:rFonts w:ascii="Times New Roman" w:hAnsi="Times New Roman" w:eastAsia="宋体"/>
          <w:b w:val="false"/>
          <w:sz w:val="21"/>
        </w:rPr>
        <w:t>。多属性决策方法能够综合考虑多种网络质量指标，其中逼近理想解排序法（</w:t>
      </w:r>
      <w:r>
        <w:rPr>
          <w:rFonts w:eastAsia="宋体" w:ascii="Times New Roman" w:hAnsi="Times New Roman"/>
          <w:b w:val="false"/>
          <w:sz w:val="21"/>
        </w:rPr>
        <w:t>TOPSIS, technique for order preference by similarity to ideal solution</w:t>
      </w:r>
      <w:r>
        <w:rPr>
          <w:rFonts w:ascii="Times New Roman" w:hAnsi="Times New Roman" w:eastAsia="宋体"/>
          <w:b w:val="false"/>
          <w:sz w:val="21"/>
        </w:rPr>
        <w:t>）具有计算复杂度低、可解释性较强等优点</w:t>
      </w:r>
      <w:r>
        <w:rPr>
          <w:rFonts w:eastAsia="宋体" w:ascii="Times New Roman" w:hAnsi="Times New Roman"/>
          <w:b w:val="false"/>
          <w:sz w:val="21"/>
          <w:vertAlign w:val="superscript"/>
        </w:rPr>
        <w:t>[7-8,30]</w:t>
      </w:r>
      <w:r>
        <w:rPr>
          <w:rFonts w:ascii="Times New Roman" w:hAnsi="Times New Roman" w:eastAsia="宋体"/>
          <w:b w:val="false"/>
          <w:sz w:val="21"/>
        </w:rPr>
        <w:t>，但传统方法通常采用固定权重，难以适应节点速度、业务需求和链路状态的动态变化</w:t>
      </w:r>
      <w:r>
        <w:rPr>
          <w:rFonts w:eastAsia="宋体" w:ascii="Times New Roman" w:hAnsi="Times New Roman"/>
          <w:b w:val="false"/>
          <w:sz w:val="21"/>
          <w:vertAlign w:val="superscript"/>
        </w:rPr>
        <w:t>[9-11]</w:t>
      </w:r>
      <w:r>
        <w:rPr>
          <w:rFonts w:ascii="Times New Roman" w:hAnsi="Times New Roman" w:eastAsia="宋体"/>
          <w:b w:val="false"/>
          <w:sz w:val="21"/>
        </w:rPr>
        <w:t>。基于强化学习的智能方法能够从环境交互中学习切换策略</w:t>
      </w:r>
      <w:r>
        <w:rPr>
          <w:rFonts w:eastAsia="宋体" w:ascii="Times New Roman" w:hAnsi="Times New Roman"/>
          <w:b w:val="false"/>
          <w:sz w:val="21"/>
          <w:vertAlign w:val="superscript"/>
        </w:rPr>
        <w:t>[12-13]</w:t>
      </w:r>
      <w:r>
        <w:rPr>
          <w:rFonts w:ascii="Times New Roman" w:hAnsi="Times New Roman" w:eastAsia="宋体"/>
          <w:b w:val="false"/>
          <w:sz w:val="21"/>
        </w:rPr>
        <w:t>，但训练和部署成本较高，对仿真交互规模和状态空间设计较为敏感</w:t>
      </w:r>
      <w:r>
        <w:rPr>
          <w:rFonts w:eastAsia="宋体" w:ascii="Times New Roman" w:hAnsi="Times New Roman"/>
          <w:b w:val="false"/>
          <w:sz w:val="21"/>
          <w:vertAlign w:val="superscript"/>
        </w:rPr>
        <w:t>[14]</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 long short-term memory</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，已被应用于网络状态预测和切换判决</w:t>
      </w:r>
      <w:r>
        <w:rPr>
          <w:rFonts w:eastAsia="宋体" w:ascii="Times New Roman" w:hAnsi="Times New Roman"/>
          <w:b w:val="false"/>
          <w:sz w:val="21"/>
          <w:vertAlign w:val="superscript"/>
        </w:rPr>
        <w:t>[16-17]</w:t>
      </w:r>
      <w:r>
        <w:rPr>
          <w:rFonts w:ascii="Times New Roman" w:hAnsi="Times New Roman" w:eastAsia="宋体"/>
          <w:b w:val="false"/>
          <w:sz w:val="21"/>
        </w:rPr>
        <w:t>。注意力机制（</w:t>
      </w:r>
      <w:r>
        <w:rPr>
          <w:rFonts w:eastAsia="宋体" w:ascii="Times New Roman" w:hAnsi="Times New Roman"/>
          <w:b w:val="false"/>
          <w:sz w:val="21"/>
        </w:rPr>
        <w:t>attention mechanism</w:t>
      </w:r>
      <w:r>
        <w:rPr>
          <w:rFonts w:ascii="Times New Roman" w:hAnsi="Times New Roman" w:eastAsia="宋体"/>
          <w:b w:val="false"/>
          <w:sz w:val="21"/>
        </w:rPr>
        <w:t>）能够自适应分配不同特征的权重</w:t>
      </w:r>
      <w:r>
        <w:rPr>
          <w:rFonts w:eastAsia="宋体" w:ascii="Times New Roman" w:hAnsi="Times New Roman"/>
          <w:b w:val="false"/>
          <w:sz w:val="21"/>
          <w:vertAlign w:val="superscript"/>
        </w:rPr>
        <w:t>[18,29]</w:t>
      </w:r>
      <w:r>
        <w:rPr>
          <w:rFonts w:ascii="Times New Roman" w:hAnsi="Times New Roman" w:eastAsia="宋体"/>
          <w:b w:val="false"/>
          <w:sz w:val="21"/>
        </w:rPr>
        <w:t>，为动态场景下的多属性决策提供了新思路。网络仿真工具</w:t>
      </w:r>
      <w:r>
        <w:rPr>
          <w:rFonts w:eastAsia="宋体" w:ascii="Times New Roman" w:hAnsi="Times New Roman"/>
          <w:b w:val="false"/>
          <w:sz w:val="21"/>
        </w:rPr>
        <w:t>ns-3</w:t>
      </w:r>
      <w:r>
        <w:rPr>
          <w:rFonts w:ascii="Times New Roman" w:hAnsi="Times New Roman" w:eastAsia="宋体"/>
          <w:b w:val="false"/>
          <w:sz w:val="21"/>
        </w:rPr>
        <w:t>及其人工智能（</w:t>
      </w:r>
      <w:r>
        <w:rPr>
          <w:rFonts w:eastAsia="宋体" w:ascii="Times New Roman" w:hAnsi="Times New Roman"/>
          <w:b w:val="false"/>
          <w:sz w:val="21"/>
        </w:rPr>
        <w:t>AI, artificial intelligence</w:t>
      </w:r>
      <w:r>
        <w:rPr>
          <w:rFonts w:ascii="Times New Roman" w:hAnsi="Times New Roman" w:eastAsia="宋体"/>
          <w:b w:val="false"/>
          <w:sz w:val="21"/>
        </w:rPr>
        <w:t>）扩展模块</w:t>
      </w:r>
      <w:r>
        <w:rPr>
          <w:rFonts w:eastAsia="宋体" w:ascii="Times New Roman" w:hAnsi="Times New Roman"/>
          <w:b w:val="false"/>
          <w:sz w:val="21"/>
        </w:rPr>
        <w:t>ns3-ai</w:t>
      </w:r>
      <w:r>
        <w:rPr>
          <w:rFonts w:ascii="Times New Roman" w:hAnsi="Times New Roman" w:eastAsia="宋体"/>
          <w:b w:val="false"/>
          <w:sz w:val="21"/>
        </w:rPr>
        <w:t>为网络协议研究提供了灵活的实验平台</w:t>
      </w:r>
      <w:r>
        <w:rPr>
          <w:rFonts w:eastAsia="宋体" w:ascii="Times New Roman" w:hAnsi="Times New Roman"/>
          <w:b w:val="false"/>
          <w:sz w:val="21"/>
          <w:vertAlign w:val="superscript"/>
        </w:rPr>
        <w:t>[19-20]</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为兼顾遥感数据传输的预测性、实时性和可解释性需求，研究了基于</w:t>
      </w:r>
      <w:r>
        <w:rPr>
          <w:rFonts w:eastAsia="宋体" w:ascii="Times New Roman" w:hAnsi="Times New Roman"/>
          <w:b w:val="false"/>
          <w:sz w:val="21"/>
        </w:rPr>
        <w:t>LSTM</w:t>
      </w:r>
      <w:r>
        <w:rPr>
          <w:rFonts w:ascii="Times New Roman" w:hAnsi="Times New Roman" w:eastAsia="宋体"/>
          <w:b w:val="false"/>
          <w:sz w:val="21"/>
        </w:rPr>
        <w:t>和注意力机制的自适应垂直切换算法</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LSTM-attention based adaptive vertical handover algorithm</w:t>
      </w:r>
      <w:r>
        <w:rPr>
          <w:rFonts w:ascii="Times New Roman" w:hAnsi="Times New Roman" w:eastAsia="宋体"/>
          <w:b w:val="false"/>
          <w:sz w:val="21"/>
        </w:rPr>
        <w:t>）。该算法利用</w:t>
      </w:r>
      <w:r>
        <w:rPr>
          <w:rFonts w:eastAsia="宋体" w:ascii="Times New Roman" w:hAnsi="Times New Roman"/>
          <w:b w:val="false"/>
          <w:sz w:val="21"/>
        </w:rPr>
        <w:t>LSTM</w:t>
      </w:r>
      <w:r>
        <w:rPr>
          <w:rFonts w:ascii="Times New Roman" w:hAnsi="Times New Roman" w:eastAsia="宋体"/>
          <w:b w:val="false"/>
          <w:sz w:val="21"/>
        </w:rPr>
        <w:t>捕获网络状态时间序列变化趋势，通过注意力机制根据飞行阶段生成动态属性权重，并结合改进</w:t>
      </w:r>
      <w:r>
        <w:rPr>
          <w:rFonts w:eastAsia="宋体" w:ascii="Times New Roman" w:hAnsi="Times New Roman"/>
          <w:b w:val="false"/>
          <w:sz w:val="21"/>
        </w:rPr>
        <w:t>TOPSIS</w:t>
      </w:r>
      <w:r>
        <w:rPr>
          <w:rFonts w:ascii="Times New Roman" w:hAnsi="Times New Roman" w:eastAsia="宋体"/>
          <w:b w:val="false"/>
          <w:sz w:val="21"/>
        </w:rPr>
        <w:t>完成候选网络排序。与仅依据当前状态的被动式切换相比，该方法能够在无人机飞入网络覆盖薄弱区域前进行前瞻性切换，避免遥感图像回传中断；与固定权重的多属性决策相比，该方法能够根据飞行阶段（巡航</w:t>
      </w:r>
      <w:r>
        <w:rPr>
          <w:rFonts w:eastAsia="宋体" w:ascii="Times New Roman" w:hAnsi="Times New Roman"/>
          <w:b w:val="false"/>
          <w:sz w:val="21"/>
        </w:rPr>
        <w:t>/</w:t>
      </w:r>
      <w:r>
        <w:rPr>
          <w:rFonts w:ascii="Times New Roman" w:hAnsi="Times New Roman" w:eastAsia="宋体"/>
          <w:b w:val="false"/>
          <w:sz w:val="21"/>
        </w:rPr>
        <w:t>拍摄回传）和移动状态自适应调整各网络属性的重要性，在保持飞控链路稳定的同时保障图像数据的可靠传输。</w:t>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rFonts w:eastAsia="宋体" w:ascii="Times New Roman" w:hAnsi="Times New Roman"/>
          <w:b w:val="false"/>
          <w:sz w:val="21"/>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rFonts w:eastAsia="宋体" w:ascii="Times New Roman" w:hAnsi="Times New Roman"/>
          <w:b w:val="false"/>
          <w:sz w:val="21"/>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w:t>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w:t>
      </w:r>
      <w:r>
        <w:rPr>
          <w:rFonts w:eastAsia="宋体" w:ascii="Times New Roman" w:hAnsi="Times New Roman"/>
          <w:b w:val="false"/>
          <w:sz w:val="21"/>
          <w:vertAlign w:val="superscript"/>
        </w:rPr>
        <w:t>[19]</w:t>
      </w:r>
      <w:r>
        <w:rPr>
          <w:rFonts w:ascii="Times New Roman" w:hAnsi="Times New Roman" w:eastAsia="宋体"/>
          <w:b w:val="false"/>
          <w:sz w:val="21"/>
        </w:rPr>
        <w:t>和</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w:t>
      </w:r>
    </w:p>
    <w:p>
      <w:pPr>
        <w:pStyle w:val="Normal"/>
        <w:ind w:firstLine="420"/>
        <w:jc w:val="both"/>
        <w:rPr/>
      </w:pPr>
      <w:r>
        <w:rPr>
          <w:rFonts w:ascii="Times New Roman" w:hAnsi="Times New Roman" w:eastAsia="宋体"/>
          <w:b w:val="false"/>
          <w:sz w:val="21"/>
        </w:rPr>
        <w:t>实验除</w:t>
      </w:r>
      <w:r>
        <w:rPr>
          <w:rFonts w:eastAsia="宋体" w:ascii="Times New Roman" w:hAnsi="Times New Roman"/>
          <w:b w:val="false"/>
          <w:sz w:val="21"/>
        </w:rPr>
        <w:t>LAAVHA</w:t>
      </w:r>
      <w:r>
        <w:rPr>
          <w:rFonts w:ascii="Times New Roman" w:hAnsi="Times New Roman" w:eastAsia="宋体"/>
          <w:b w:val="false"/>
          <w:sz w:val="21"/>
        </w:rPr>
        <w:t>外，还运行了</w:t>
      </w:r>
      <w:r>
        <w:rPr>
          <w:rFonts w:eastAsia="宋体" w:ascii="Times New Roman" w:hAnsi="Times New Roman"/>
          <w:b w:val="false"/>
          <w:sz w:val="21"/>
        </w:rPr>
        <w:t>TOPSIS-Q</w:t>
      </w:r>
      <w:r>
        <w:rPr>
          <w:rFonts w:ascii="Times New Roman" w:hAnsi="Times New Roman" w:eastAsia="宋体"/>
          <w:b w:val="false"/>
          <w:sz w:val="21"/>
        </w:rPr>
        <w:t>、</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GRA</w:t>
      </w:r>
      <w:r>
        <w:rPr>
          <w:rFonts w:ascii="Times New Roman" w:hAnsi="Times New Roman" w:eastAsia="宋体"/>
          <w:b w:val="false"/>
          <w:sz w:val="21"/>
        </w:rPr>
        <w:t>、</w:t>
      </w:r>
      <w:r>
        <w:rPr>
          <w:rFonts w:eastAsia="宋体" w:ascii="Times New Roman" w:hAnsi="Times New Roman"/>
          <w:b w:val="false"/>
          <w:sz w:val="21"/>
        </w:rPr>
        <w:t>COPRAS</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和最强信号法等</w:t>
      </w:r>
      <w:r>
        <w:rPr>
          <w:rFonts w:eastAsia="宋体" w:ascii="Times New Roman" w:hAnsi="Times New Roman"/>
          <w:b w:val="false"/>
          <w:sz w:val="21"/>
        </w:rPr>
        <w:t>6</w:t>
      </w:r>
      <w:r>
        <w:rPr>
          <w:rFonts w:ascii="Times New Roman" w:hAnsi="Times New Roman" w:eastAsia="宋体"/>
          <w:b w:val="false"/>
          <w:sz w:val="21"/>
        </w:rPr>
        <w:t>种对比算法以及</w:t>
      </w:r>
      <w:r>
        <w:rPr>
          <w:rFonts w:eastAsia="宋体" w:ascii="Times New Roman" w:hAnsi="Times New Roman"/>
          <w:b w:val="false"/>
          <w:sz w:val="21"/>
        </w:rPr>
        <w:t>LAAVHA-L</w:t>
      </w:r>
      <w:r>
        <w:rPr>
          <w:rFonts w:ascii="Times New Roman" w:hAnsi="Times New Roman" w:eastAsia="宋体"/>
          <w:b w:val="false"/>
          <w:sz w:val="21"/>
        </w:rPr>
        <w:t>、</w:t>
      </w:r>
      <w:r>
        <w:rPr>
          <w:rFonts w:eastAsia="宋体" w:ascii="Times New Roman" w:hAnsi="Times New Roman"/>
          <w:b w:val="false"/>
          <w:sz w:val="21"/>
        </w:rPr>
        <w:t>LAAVHA-A</w:t>
      </w:r>
      <w:r>
        <w:rPr>
          <w:rFonts w:ascii="Times New Roman" w:hAnsi="Times New Roman" w:eastAsia="宋体"/>
          <w:b w:val="false"/>
          <w:sz w:val="21"/>
        </w:rPr>
        <w:t>两种消融变体。这</w:t>
      </w:r>
      <w:r>
        <w:rPr>
          <w:rFonts w:eastAsia="宋体" w:ascii="Times New Roman" w:hAnsi="Times New Roman"/>
          <w:b w:val="false"/>
          <w:sz w:val="21"/>
        </w:rPr>
        <w:t>6</w:t>
      </w:r>
      <w:r>
        <w:rPr>
          <w:rFonts w:ascii="Times New Roman" w:hAnsi="Times New Roman" w:eastAsia="宋体"/>
          <w:b w:val="false"/>
          <w:sz w:val="21"/>
        </w:rPr>
        <w:t>种对比算法覆盖了补偿式（</w:t>
      </w:r>
      <w:r>
        <w:rPr>
          <w:rFonts w:eastAsia="宋体" w:ascii="Times New Roman" w:hAnsi="Times New Roman"/>
          <w:b w:val="false"/>
          <w:sz w:val="21"/>
        </w:rPr>
        <w:t>VIKOR</w:t>
      </w:r>
      <w:r>
        <w:rPr>
          <w:rFonts w:ascii="Times New Roman" w:hAnsi="Times New Roman" w:eastAsia="宋体"/>
          <w:b w:val="false"/>
          <w:sz w:val="21"/>
        </w:rPr>
        <w:t>）、距离式（</w:t>
      </w:r>
      <w:r>
        <w:rPr>
          <w:rFonts w:eastAsia="宋体" w:ascii="Times New Roman" w:hAnsi="Times New Roman"/>
          <w:b w:val="false"/>
          <w:sz w:val="21"/>
        </w:rPr>
        <w:t>TOPSIS-Q</w:t>
      </w:r>
      <w:r>
        <w:rPr>
          <w:rFonts w:ascii="Times New Roman" w:hAnsi="Times New Roman" w:eastAsia="宋体"/>
          <w:b w:val="false"/>
          <w:sz w:val="21"/>
        </w:rPr>
        <w:t>）、关联度式（</w:t>
      </w:r>
      <w:r>
        <w:rPr>
          <w:rFonts w:eastAsia="宋体" w:ascii="Times New Roman" w:hAnsi="Times New Roman"/>
          <w:b w:val="false"/>
          <w:sz w:val="21"/>
        </w:rPr>
        <w:t>GRA</w:t>
      </w:r>
      <w:r>
        <w:rPr>
          <w:rFonts w:ascii="Times New Roman" w:hAnsi="Times New Roman" w:eastAsia="宋体"/>
          <w:b w:val="false"/>
          <w:sz w:val="21"/>
        </w:rPr>
        <w:t>）、比例式（</w:t>
      </w:r>
      <w:r>
        <w:rPr>
          <w:rFonts w:eastAsia="宋体" w:ascii="Times New Roman" w:hAnsi="Times New Roman"/>
          <w:b w:val="false"/>
          <w:sz w:val="21"/>
        </w:rPr>
        <w:t>COPRAS</w:t>
      </w:r>
      <w:r>
        <w:rPr>
          <w:rFonts w:ascii="Times New Roman" w:hAnsi="Times New Roman" w:eastAsia="宋体"/>
          <w:b w:val="false"/>
          <w:sz w:val="21"/>
        </w:rPr>
        <w:t>）和参考点式（</w:t>
      </w:r>
      <w:r>
        <w:rPr>
          <w:rFonts w:eastAsia="宋体" w:ascii="Times New Roman" w:hAnsi="Times New Roman"/>
          <w:b w:val="false"/>
          <w:sz w:val="21"/>
        </w:rPr>
        <w:t>SPOTIS</w:t>
      </w:r>
      <w:r>
        <w:rPr>
          <w:rFonts w:ascii="Times New Roman" w:hAnsi="Times New Roman" w:eastAsia="宋体"/>
          <w:b w:val="false"/>
          <w:sz w:val="21"/>
        </w:rPr>
        <w:t>）五种主流</w:t>
      </w:r>
      <w:r>
        <w:rPr>
          <w:rFonts w:eastAsia="宋体" w:ascii="Times New Roman" w:hAnsi="Times New Roman"/>
          <w:b w:val="false"/>
          <w:sz w:val="21"/>
        </w:rPr>
        <w:t>MADM</w:t>
      </w:r>
      <w:r>
        <w:rPr>
          <w:rFonts w:ascii="Times New Roman" w:hAnsi="Times New Roman" w:eastAsia="宋体"/>
          <w:b w:val="false"/>
          <w:sz w:val="21"/>
        </w:rPr>
        <w:t>决策范式，为全面评估</w:t>
      </w:r>
      <w:r>
        <w:rPr>
          <w:rFonts w:eastAsia="宋体" w:ascii="Times New Roman" w:hAnsi="Times New Roman"/>
          <w:b w:val="false"/>
          <w:sz w:val="21"/>
        </w:rPr>
        <w:t>LAAVHA</w:t>
      </w:r>
      <w:r>
        <w:rPr>
          <w:rFonts w:ascii="Times New Roman" w:hAnsi="Times New Roman" w:eastAsia="宋体"/>
          <w:b w:val="false"/>
          <w:sz w:val="21"/>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20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100~119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时间窗口 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LSTM隐藏单元</w:t>
            </w:r>
          </w:p>
        </w:tc>
        <w:tc>
          <w:tcPr>
            <w:tcW w:w="4761" w:type="dxa"/>
            <w:tcBorders/>
          </w:tcPr>
          <w:p>
            <w:pPr>
              <w:pStyle w:val="Normal"/>
              <w:spacing w:before="0" w:after="200"/>
              <w:jc w:val="center"/>
              <w:rPr/>
            </w:pPr>
            <w:r>
              <w:rPr>
                <w:rFonts w:ascii="宋体" w:hAnsi="宋体"/>
                <w:sz w:val="18"/>
              </w:rPr>
              <w:t>第一层128，第二层64</w:t>
            </w:r>
          </w:p>
        </w:tc>
      </w:tr>
      <w:tr>
        <w:trPr/>
        <w:tc>
          <w:tcPr>
            <w:tcW w:w="4762" w:type="dxa"/>
            <w:tcBorders/>
          </w:tcPr>
          <w:p>
            <w:pPr>
              <w:pStyle w:val="Normal"/>
              <w:spacing w:before="0" w:after="200"/>
              <w:jc w:val="center"/>
              <w:rPr/>
            </w:pPr>
            <w:r>
              <w:rPr>
                <w:rFonts w:ascii="宋体" w:hAnsi="宋体"/>
                <w:sz w:val="18"/>
              </w:rPr>
              <w:t>注意力头数（num_heads）</w:t>
            </w:r>
          </w:p>
        </w:tc>
        <w:tc>
          <w:tcPr>
            <w:tcW w:w="4761" w:type="dxa"/>
            <w:tcBorders/>
          </w:tcPr>
          <w:p>
            <w:pPr>
              <w:pStyle w:val="Normal"/>
              <w:spacing w:before="0" w:after="200"/>
              <w:jc w:val="center"/>
              <w:rPr/>
            </w:pPr>
            <w:r>
              <w:rPr>
                <w:rFonts w:ascii="宋体" w:hAnsi="宋体"/>
                <w:sz w:val="18"/>
              </w:rPr>
              <w:t>1（embed_dim=5约束）</w:t>
            </w:r>
          </w:p>
        </w:tc>
      </w:tr>
      <w:tr>
        <w:trPr/>
        <w:tc>
          <w:tcPr>
            <w:tcW w:w="4762" w:type="dxa"/>
            <w:tcBorders/>
          </w:tcPr>
          <w:p>
            <w:pPr>
              <w:pStyle w:val="Normal"/>
              <w:spacing w:before="0" w:after="200"/>
              <w:jc w:val="center"/>
              <w:rPr/>
            </w:pPr>
            <w:r>
              <w:rPr>
                <w:rFonts w:ascii="宋体" w:hAnsi="宋体"/>
                <w:sz w:val="18"/>
              </w:rPr>
              <w:t>融合系数 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训练/验证 =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验证集损失连续10个epoch不下降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6</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利用固定参考边界进行稳定偏好排序；最强信号法直接选择当前</w:t>
      </w:r>
      <w:r>
        <w:rPr>
          <w:rFonts w:eastAsia="宋体" w:ascii="Times New Roman" w:hAnsi="Times New Roman"/>
          <w:b w:val="false"/>
          <w:sz w:val="21"/>
        </w:rPr>
        <w:t>SINR</w:t>
      </w:r>
      <w:r>
        <w:rPr>
          <w:rFonts w:ascii="Times New Roman" w:hAnsi="Times New Roman" w:eastAsia="宋体"/>
          <w:b w:val="false"/>
          <w:sz w:val="21"/>
        </w:rPr>
        <w:t>最大的候选网络，作为单因素基线的参考下限。图</w:t>
      </w:r>
      <w:r>
        <w:rPr>
          <w:rFonts w:eastAsia="宋体" w:ascii="Times New Roman" w:hAnsi="Times New Roman"/>
          <w:b w:val="false"/>
          <w:sz w:val="21"/>
        </w:rPr>
        <w:t>1</w:t>
      </w:r>
      <w:r>
        <w:rPr>
          <w:rFonts w:ascii="Times New Roman" w:hAnsi="Times New Roman" w:eastAsia="宋体"/>
          <w:b w:val="false"/>
          <w:sz w:val="21"/>
        </w:rPr>
        <w:t>给出了</w:t>
      </w:r>
      <w:r>
        <w:rPr>
          <w:rFonts w:eastAsia="宋体" w:ascii="Times New Roman" w:hAnsi="Times New Roman"/>
          <w:b w:val="false"/>
          <w:sz w:val="21"/>
        </w:rPr>
        <w:t>9</w:t>
      </w:r>
      <w:r>
        <w:rPr>
          <w:rFonts w:ascii="Times New Roman" w:hAnsi="Times New Roman" w:eastAsia="宋体"/>
          <w:b w:val="false"/>
          <w:sz w:val="21"/>
        </w:rPr>
        <w:t>种算法在</w:t>
      </w:r>
      <w:r>
        <w:rPr>
          <w:rFonts w:eastAsia="宋体" w:ascii="Times New Roman" w:hAnsi="Times New Roman"/>
          <w:b w:val="false"/>
          <w:sz w:val="21"/>
        </w:rPr>
        <w:t>20</w:t>
      </w:r>
      <w:r>
        <w:rPr>
          <w:rFonts w:ascii="Times New Roman" w:hAnsi="Times New Roman" w:eastAsia="宋体"/>
          <w:b w:val="false"/>
          <w:sz w:val="21"/>
        </w:rPr>
        <w:t>次独立仿真中的平均切换次数统计。</w:t>
      </w:r>
    </w:p>
    <w:p>
      <w:pPr>
        <w:pStyle w:val="Normal"/>
        <w:jc w:val="center"/>
        <w:rPr/>
      </w:pPr>
      <w:r>
        <w:rPr/>
        <w:drawing>
          <wp:inline distT="0" distB="0" distL="0" distR="0">
            <wp:extent cx="5120640" cy="310388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120640" cy="3103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1 9</w:t>
      </w:r>
      <w:r>
        <w:rPr>
          <w:rFonts w:ascii="Times New Roman" w:hAnsi="Times New Roman" w:eastAsia="宋体"/>
          <w:b w:val="false"/>
          <w:sz w:val="18"/>
        </w:rPr>
        <w:t>种算法平均切换次数对比（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为进一步分析各算法切换行为差异的原因，图</w:t>
      </w:r>
      <w:r>
        <w:rPr>
          <w:rFonts w:eastAsia="宋体" w:ascii="Times New Roman" w:hAnsi="Times New Roman"/>
          <w:b w:val="false"/>
          <w:sz w:val="21"/>
        </w:rPr>
        <w:t>2</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三种代表性算法在</w:t>
      </w:r>
      <w:r>
        <w:rPr>
          <w:rFonts w:eastAsia="宋体" w:ascii="Times New Roman" w:hAnsi="Times New Roman"/>
          <w:b w:val="false"/>
          <w:sz w:val="21"/>
        </w:rPr>
        <w:t>seed=100</w:t>
      </w:r>
      <w:r>
        <w:rPr>
          <w:rFonts w:ascii="Times New Roman" w:hAnsi="Times New Roman" w:eastAsia="宋体"/>
          <w:b w:val="false"/>
          <w:sz w:val="21"/>
        </w:rPr>
        <w:t>时对</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候选网络的评分时序变化（</w:t>
      </w:r>
      <w:r>
        <w:rPr>
          <w:rFonts w:eastAsia="宋体" w:ascii="Times New Roman" w:hAnsi="Times New Roman"/>
          <w:b w:val="false"/>
          <w:sz w:val="21"/>
        </w:rPr>
        <w:t>5G/LTE/WiFi</w:t>
      </w:r>
      <w:r>
        <w:rPr>
          <w:rFonts w:ascii="Times New Roman" w:hAnsi="Times New Roman" w:eastAsia="宋体"/>
          <w:b w:val="false"/>
          <w:sz w:val="21"/>
        </w:rPr>
        <w:t>三条评分曲线），红色竖虚线标记切换时刻。可以观察到，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评分在全过程中保持稳定高水平（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评分均低于阈值触发线，结合双重滞后机制（</w:t>
      </w:r>
      <w:r>
        <w:rPr>
          <w:rFonts w:eastAsia="宋体" w:ascii="Times New Roman" w:hAnsi="Times New Roman"/>
          <w:b w:val="false"/>
          <w:sz w:val="21"/>
        </w:rPr>
        <w:t>Delta_th=0.05, T=3</w:t>
      </w:r>
      <w:r>
        <w:rPr>
          <w:rFonts w:ascii="Times New Roman" w:hAnsi="Times New Roman" w:eastAsia="宋体"/>
          <w:b w:val="false"/>
          <w:sz w:val="21"/>
        </w:rPr>
        <w:t>）使任何候选网络均无法突破当前服务网络的贴近度阈值，因此始终保持</w:t>
      </w:r>
      <w:r>
        <w:rPr>
          <w:rFonts w:eastAsia="宋体" w:ascii="Times New Roman" w:hAnsi="Times New Roman"/>
          <w:b w:val="false"/>
          <w:sz w:val="21"/>
        </w:rPr>
        <w:t>0</w:t>
      </w:r>
      <w:r>
        <w:rPr>
          <w:rFonts w:ascii="Times New Roman" w:hAnsi="Times New Roman" w:eastAsia="宋体"/>
          <w:b w:val="false"/>
          <w:sz w:val="21"/>
        </w:rPr>
        <w:t>次切换。相比之下，</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的评分在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LTE</w:t>
      </w:r>
      <w:r>
        <w:rPr>
          <w:rFonts w:ascii="Times New Roman" w:hAnsi="Times New Roman" w:eastAsia="宋体"/>
          <w:b w:val="false"/>
          <w:sz w:val="21"/>
        </w:rPr>
        <w:t>之间出现周期性交叉振荡，当</w:t>
      </w:r>
      <w:r>
        <w:rPr>
          <w:rFonts w:eastAsia="宋体" w:ascii="Times New Roman" w:hAnsi="Times New Roman"/>
          <w:b w:val="false"/>
          <w:sz w:val="21"/>
        </w:rPr>
        <w:t>LTE</w:t>
      </w:r>
      <w:r>
        <w:rPr>
          <w:rFonts w:ascii="Times New Roman" w:hAnsi="Times New Roman" w:eastAsia="宋体"/>
          <w:b w:val="false"/>
          <w:sz w:val="21"/>
        </w:rPr>
        <w:t>评分短暂超过</w:t>
      </w:r>
      <w:r>
        <w:rPr>
          <w:rFonts w:eastAsia="宋体" w:ascii="Times New Roman" w:hAnsi="Times New Roman"/>
          <w:b w:val="false"/>
          <w:sz w:val="21"/>
        </w:rPr>
        <w:t>5G</w:t>
      </w:r>
      <w:r>
        <w:rPr>
          <w:rFonts w:ascii="Times New Roman" w:hAnsi="Times New Roman" w:eastAsia="宋体"/>
          <w:b w:val="false"/>
          <w:sz w:val="21"/>
        </w:rPr>
        <w:t>时即触发切换，但由于下一时刻评分恢复交叉导致回切，形成了</w:t>
      </w:r>
      <w:r>
        <w:rPr>
          <w:rFonts w:eastAsia="宋体" w:ascii="Times New Roman" w:hAnsi="Times New Roman"/>
          <w:b w:val="false"/>
          <w:sz w:val="21"/>
        </w:rPr>
        <w:t>"</w:t>
      </w:r>
      <w:r>
        <w:rPr>
          <w:rFonts w:ascii="Times New Roman" w:hAnsi="Times New Roman" w:eastAsia="宋体"/>
          <w:b w:val="false"/>
          <w:sz w:val="21"/>
        </w:rPr>
        <w:t>切换</w:t>
      </w:r>
      <w:r>
        <w:rPr>
          <w:rFonts w:eastAsia="宋体" w:ascii="Times New Roman" w:hAnsi="Times New Roman"/>
          <w:b w:val="false"/>
          <w:sz w:val="21"/>
        </w:rPr>
        <w:t>-</w:t>
      </w:r>
      <w:r>
        <w:rPr>
          <w:rFonts w:ascii="Times New Roman" w:hAnsi="Times New Roman" w:eastAsia="宋体"/>
          <w:b w:val="false"/>
          <w:sz w:val="21"/>
        </w:rPr>
        <w:t>回切</w:t>
      </w:r>
      <w:r>
        <w:rPr>
          <w:rFonts w:eastAsia="宋体" w:ascii="Times New Roman" w:hAnsi="Times New Roman"/>
          <w:b w:val="false"/>
          <w:sz w:val="21"/>
        </w:rPr>
        <w:t>-</w:t>
      </w:r>
      <w:r>
        <w:rPr>
          <w:rFonts w:ascii="Times New Roman" w:hAnsi="Times New Roman" w:eastAsia="宋体"/>
          <w:b w:val="false"/>
          <w:sz w:val="21"/>
        </w:rPr>
        <w:t>再切换</w:t>
      </w:r>
      <w:r>
        <w:rPr>
          <w:rFonts w:eastAsia="宋体" w:ascii="Times New Roman" w:hAnsi="Times New Roman"/>
          <w:b w:val="false"/>
          <w:sz w:val="21"/>
        </w:rPr>
        <w:t>"</w:t>
      </w:r>
      <w:r>
        <w:rPr>
          <w:rFonts w:ascii="Times New Roman" w:hAnsi="Times New Roman" w:eastAsia="宋体"/>
          <w:b w:val="false"/>
          <w:sz w:val="21"/>
        </w:rPr>
        <w:t>的乒乓模式。</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w:t>
      </w:r>
      <w:r>
        <w:rPr>
          <w:rFonts w:eastAsia="宋体" w:ascii="Times New Roman" w:hAnsi="Times New Roman"/>
          <w:b w:val="false"/>
          <w:sz w:val="21"/>
        </w:rPr>
        <w:t>COPRAS</w:t>
      </w:r>
      <w:r>
        <w:rPr>
          <w:rFonts w:ascii="Times New Roman" w:hAnsi="Times New Roman" w:eastAsia="宋体"/>
          <w:b w:val="false"/>
          <w:sz w:val="21"/>
        </w:rPr>
        <w:t>的切换次数更高（</w:t>
      </w:r>
      <w:r>
        <w:rPr>
          <w:rFonts w:eastAsia="宋体" w:ascii="Times New Roman" w:hAnsi="Times New Roman"/>
          <w:b w:val="false"/>
          <w:sz w:val="21"/>
        </w:rPr>
        <w:t>13.6~25.6</w:t>
      </w:r>
      <w:r>
        <w:rPr>
          <w:rFonts w:ascii="Times New Roman" w:hAnsi="Times New Roman" w:eastAsia="宋体"/>
          <w:b w:val="false"/>
          <w:sz w:val="21"/>
        </w:rPr>
        <w:t>次），其评分振荡幅度更大、切换频率更高，本质原因在于缺乏滞后保护机制和时序预测的前瞻引导。</w:t>
      </w:r>
    </w:p>
    <w:p>
      <w:pPr>
        <w:pStyle w:val="Normal"/>
        <w:jc w:val="center"/>
        <w:rPr/>
      </w:pPr>
      <w:r>
        <w:rPr/>
        <w:drawing>
          <wp:inline distT="0" distB="0" distL="0" distR="0">
            <wp:extent cx="6423660" cy="1686560"/>
            <wp:effectExtent l="0" t="0" r="0" b="0"/>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6423660" cy="168656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LAAVHA/TOPSIS-Q/GRA</w:t>
      </w:r>
      <w:r>
        <w:rPr>
          <w:rFonts w:ascii="Times New Roman" w:hAnsi="Times New Roman" w:eastAsia="宋体"/>
          <w:b w:val="false"/>
          <w:sz w:val="18"/>
        </w:rPr>
        <w:t>候选网络评分时序对比（</w:t>
      </w:r>
      <w:r>
        <w:rPr>
          <w:rFonts w:eastAsia="宋体" w:ascii="Times New Roman" w:hAnsi="Times New Roman"/>
          <w:b w:val="false"/>
          <w:sz w:val="18"/>
        </w:rPr>
        <w:t>seed=100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候选网络评分与</w:t>
      </w:r>
      <w:r>
        <w:rPr>
          <w:rFonts w:eastAsia="黑体" w:ascii="Times New Roman" w:hAnsi="Times New Roman"/>
          <w:b/>
          <w:sz w:val="22"/>
        </w:rPr>
        <w:t>SINR</w:t>
      </w:r>
      <w:r>
        <w:rPr>
          <w:rFonts w:ascii="Times New Roman" w:hAnsi="Times New Roman" w:eastAsia="黑体"/>
          <w:b/>
          <w:sz w:val="22"/>
        </w:rPr>
        <w:t>趋势</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3</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次运行中各候选网络</w:t>
      </w:r>
      <w:r>
        <w:rPr>
          <w:rFonts w:eastAsia="宋体" w:ascii="Times New Roman" w:hAnsi="Times New Roman"/>
          <w:b w:val="false"/>
          <w:sz w:val="21"/>
        </w:rPr>
        <w:t>SINR</w:t>
      </w:r>
      <w:r>
        <w:rPr>
          <w:rFonts w:ascii="Times New Roman" w:hAnsi="Times New Roman" w:eastAsia="宋体"/>
          <w:b w:val="false"/>
          <w:sz w:val="21"/>
        </w:rPr>
        <w:t>随仿真时间变化的均值与标准差。</w:t>
      </w:r>
      <w:r>
        <w:rPr>
          <w:rFonts w:eastAsia="宋体" w:ascii="Times New Roman" w:hAnsi="Times New Roman"/>
          <w:b w:val="false"/>
          <w:sz w:val="21"/>
        </w:rPr>
        <w:t>WiFi SINR</w:t>
      </w:r>
      <w:r>
        <w:rPr>
          <w:rFonts w:ascii="Times New Roman" w:hAnsi="Times New Roman" w:eastAsia="宋体"/>
          <w:b w:val="false"/>
          <w:sz w:val="21"/>
        </w:rPr>
        <w:t>随无人机远离接入点持续衰减——从初始的</w:t>
      </w:r>
      <w:r>
        <w:rPr>
          <w:rFonts w:eastAsia="宋体" w:ascii="Times New Roman" w:hAnsi="Times New Roman"/>
          <w:b w:val="false"/>
          <w:sz w:val="21"/>
        </w:rPr>
        <w:t>60~80 dB</w:t>
      </w:r>
      <w:r>
        <w:rPr>
          <w:rFonts w:ascii="Times New Roman" w:hAnsi="Times New Roman" w:eastAsia="宋体"/>
          <w:b w:val="false"/>
          <w:sz w:val="21"/>
        </w:rPr>
        <w:t>降至</w:t>
      </w:r>
      <w:r>
        <w:rPr>
          <w:rFonts w:eastAsia="宋体" w:ascii="Times New Roman" w:hAnsi="Times New Roman"/>
          <w:b w:val="false"/>
          <w:sz w:val="21"/>
        </w:rPr>
        <w:t>10 s</w:t>
      </w:r>
      <w:r>
        <w:rPr>
          <w:rFonts w:ascii="Times New Roman" w:hAnsi="Times New Roman" w:eastAsia="宋体"/>
          <w:b w:val="false"/>
          <w:sz w:val="21"/>
        </w:rPr>
        <w:t>后的</w:t>
      </w:r>
      <w:r>
        <w:rPr>
          <w:rFonts w:eastAsia="宋体" w:ascii="Times New Roman" w:hAnsi="Times New Roman"/>
          <w:b w:val="false"/>
          <w:sz w:val="21"/>
        </w:rPr>
        <w:t>30~50 dB</w:t>
      </w:r>
      <w:r>
        <w:rPr>
          <w:rFonts w:ascii="Times New Roman" w:hAnsi="Times New Roman" w:eastAsia="宋体"/>
          <w:b w:val="false"/>
          <w:sz w:val="21"/>
        </w:rPr>
        <w:t>，验证了遥感巡航场景中</w:t>
      </w:r>
      <w:r>
        <w:rPr>
          <w:rFonts w:eastAsia="宋体" w:ascii="Times New Roman" w:hAnsi="Times New Roman"/>
          <w:b w:val="false"/>
          <w:sz w:val="21"/>
        </w:rPr>
        <w:t>WiFi</w:t>
      </w:r>
      <w:r>
        <w:rPr>
          <w:rFonts w:ascii="Times New Roman" w:hAnsi="Times New Roman" w:eastAsia="宋体"/>
          <w:b w:val="false"/>
          <w:sz w:val="21"/>
        </w:rPr>
        <w:t>覆盖随飞行距离退化的核心假设；</w:t>
      </w:r>
      <w:r>
        <w:rPr>
          <w:rFonts w:eastAsia="宋体" w:ascii="Times New Roman" w:hAnsi="Times New Roman"/>
          <w:b w:val="false"/>
          <w:sz w:val="21"/>
        </w:rPr>
        <w:t>LTE SINR</w:t>
      </w:r>
      <w:r>
        <w:rPr>
          <w:rFonts w:ascii="Times New Roman" w:hAnsi="Times New Roman" w:eastAsia="宋体"/>
          <w:b w:val="false"/>
          <w:sz w:val="21"/>
        </w:rPr>
        <w:t>在整个飞行过程中保持相对平稳；</w:t>
      </w:r>
      <w:r>
        <w:rPr>
          <w:rFonts w:eastAsia="宋体" w:ascii="Times New Roman" w:hAnsi="Times New Roman"/>
          <w:b w:val="false"/>
          <w:sz w:val="21"/>
        </w:rPr>
        <w:t>5G</w:t>
      </w:r>
      <w:r>
        <w:rPr>
          <w:rFonts w:ascii="Times New Roman" w:hAnsi="Times New Roman" w:eastAsia="宋体"/>
          <w:b w:val="false"/>
          <w:sz w:val="21"/>
        </w:rPr>
        <w:t>代理链路</w:t>
      </w:r>
      <w:r>
        <w:rPr>
          <w:rFonts w:eastAsia="宋体" w:ascii="Times New Roman" w:hAnsi="Times New Roman"/>
          <w:b w:val="false"/>
          <w:sz w:val="21"/>
        </w:rPr>
        <w:t>SINR</w:t>
      </w:r>
      <w:r>
        <w:rPr>
          <w:rFonts w:ascii="Times New Roman" w:hAnsi="Times New Roman" w:eastAsia="宋体"/>
          <w:b w:val="false"/>
          <w:sz w:val="21"/>
        </w:rPr>
        <w:t>受假设</w:t>
      </w:r>
      <w:r>
        <w:rPr>
          <w:rFonts w:eastAsia="宋体" w:ascii="Times New Roman" w:hAnsi="Times New Roman"/>
          <w:b w:val="false"/>
          <w:sz w:val="21"/>
        </w:rPr>
        <w:t>gNB</w:t>
      </w:r>
      <w:r>
        <w:rPr>
          <w:rFonts w:ascii="Times New Roman" w:hAnsi="Times New Roman" w:eastAsia="宋体"/>
          <w:b w:val="false"/>
          <w:sz w:val="21"/>
        </w:rPr>
        <w:t>位置和传播模型共同决定。</w:t>
      </w:r>
      <w:r>
        <w:rPr>
          <w:rFonts w:eastAsia="宋体" w:ascii="Times New Roman" w:hAnsi="Times New Roman"/>
          <w:b w:val="false"/>
          <w:sz w:val="21"/>
        </w:rPr>
        <w:t>SINR</w:t>
      </w:r>
      <w:r>
        <w:rPr>
          <w:rFonts w:ascii="Times New Roman" w:hAnsi="Times New Roman" w:eastAsia="宋体"/>
          <w:b w:val="false"/>
          <w:sz w:val="21"/>
        </w:rPr>
        <w:t>变化趋势与候选网络评分趋势基本一致，但</w:t>
      </w:r>
      <w:r>
        <w:rPr>
          <w:rFonts w:eastAsia="宋体" w:ascii="Times New Roman" w:hAnsi="Times New Roman"/>
          <w:b w:val="false"/>
          <w:sz w:val="21"/>
        </w:rPr>
        <w:t>LAAVHA</w:t>
      </w:r>
      <w:r>
        <w:rPr>
          <w:rFonts w:ascii="Times New Roman" w:hAnsi="Times New Roman" w:eastAsia="宋体"/>
          <w:b w:val="false"/>
          <w:sz w:val="21"/>
        </w:rPr>
        <w:t>的最终网络选择并非由单一</w:t>
      </w:r>
      <w:r>
        <w:rPr>
          <w:rFonts w:eastAsia="宋体" w:ascii="Times New Roman" w:hAnsi="Times New Roman"/>
          <w:b w:val="false"/>
          <w:sz w:val="21"/>
        </w:rPr>
        <w:t>SINR</w:t>
      </w:r>
      <w:r>
        <w:rPr>
          <w:rFonts w:ascii="Times New Roman" w:hAnsi="Times New Roman" w:eastAsia="宋体"/>
          <w:b w:val="false"/>
          <w:sz w:val="21"/>
        </w:rPr>
        <w:t>指标决定——即使</w:t>
      </w:r>
      <w:r>
        <w:rPr>
          <w:rFonts w:eastAsia="宋体" w:ascii="Times New Roman" w:hAnsi="Times New Roman"/>
          <w:b w:val="false"/>
          <w:sz w:val="21"/>
        </w:rPr>
        <w:t>5G SINR</w:t>
      </w:r>
      <w:r>
        <w:rPr>
          <w:rFonts w:ascii="Times New Roman" w:hAnsi="Times New Roman" w:eastAsia="宋体"/>
          <w:b w:val="false"/>
          <w:sz w:val="21"/>
        </w:rPr>
        <w:t>数值较高，在综合评估时延、吞吐量和丢包率后，模型仍倾向于选择综合表现更优的网络，体现了多属性融合评价对遥感任务综合需求的匹配能力。</w:t>
      </w:r>
    </w:p>
    <w:p>
      <w:pPr>
        <w:pStyle w:val="Normal"/>
        <w:jc w:val="center"/>
        <w:rPr/>
      </w:pPr>
      <w:r>
        <w:rPr/>
        <w:drawing>
          <wp:inline distT="0" distB="0" distL="0" distR="0">
            <wp:extent cx="5120640" cy="3123565"/>
            <wp:effectExtent l="0" t="0" r="0" b="0"/>
            <wp:docPr id="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
                    <pic:cNvPicPr>
                      <a:picLocks noChangeAspect="1" noChangeArrowheads="1"/>
                    </pic:cNvPicPr>
                  </pic:nvPicPr>
                  <pic:blipFill>
                    <a:blip r:embed="rId4"/>
                    <a:stretch>
                      <a:fillRect/>
                    </a:stretch>
                  </pic:blipFill>
                  <pic:spPr bwMode="auto">
                    <a:xfrm>
                      <a:off x="0" y="0"/>
                      <a:ext cx="5120640" cy="312356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3 </w:t>
      </w:r>
      <w:r>
        <w:rPr>
          <w:rFonts w:ascii="Times New Roman" w:hAnsi="Times New Roman" w:eastAsia="宋体"/>
          <w:b w:val="false"/>
          <w:sz w:val="18"/>
        </w:rPr>
        <w:t>候选网络</w:t>
      </w:r>
      <w:r>
        <w:rPr>
          <w:rFonts w:eastAsia="宋体" w:ascii="Times New Roman" w:hAnsi="Times New Roman"/>
          <w:b w:val="false"/>
          <w:sz w:val="18"/>
        </w:rPr>
        <w:t>SINR</w:t>
      </w:r>
      <w:r>
        <w:rPr>
          <w:rFonts w:ascii="Times New Roman" w:hAnsi="Times New Roman" w:eastAsia="宋体"/>
          <w:b w:val="false"/>
          <w:sz w:val="18"/>
        </w:rPr>
        <w:t>趋势（</w:t>
      </w:r>
      <w:r>
        <w:rPr>
          <w:rFonts w:eastAsia="宋体" w:ascii="Times New Roman" w:hAnsi="Times New Roman"/>
          <w:b w:val="false"/>
          <w:sz w:val="18"/>
        </w:rPr>
        <w:t>LAAVHA</w:t>
      </w:r>
      <w:r>
        <w:rPr>
          <w:rFonts w:ascii="Times New Roman" w:hAnsi="Times New Roman" w:eastAsia="宋体"/>
          <w:b w:val="false"/>
          <w:sz w:val="18"/>
        </w:rPr>
        <w:t>，均值</w:t>
      </w:r>
      <w:r>
        <w:rPr>
          <w:rFonts w:eastAsia="宋体" w:ascii="Times New Roman" w:hAnsi="Times New Roman"/>
          <w:b w:val="false"/>
          <w:sz w:val="18"/>
        </w:rPr>
        <w:t>+/-</w:t>
      </w:r>
      <w:r>
        <w:rPr>
          <w:rFonts w:ascii="Times New Roman" w:hAnsi="Times New Roman" w:eastAsia="宋体"/>
          <w:b w:val="false"/>
          <w:sz w:val="18"/>
        </w:rPr>
        <w:t>标准差，</w:t>
      </w:r>
      <w:r>
        <w:rPr>
          <w:rFonts w:eastAsia="宋体" w:ascii="Times New Roman" w:hAnsi="Times New Roman"/>
          <w:b w:val="false"/>
          <w:sz w:val="18"/>
        </w:rPr>
        <w:t>n=20</w:t>
      </w:r>
      <w:r>
        <w:rPr>
          <w:rFonts w:ascii="Times New Roman" w:hAnsi="Times New Roman" w:eastAsia="宋体"/>
          <w:b w:val="false"/>
          <w:sz w:val="18"/>
        </w:rPr>
        <w:t>）</w:t>
      </w:r>
    </w:p>
    <w:p>
      <w:pPr>
        <w:pStyle w:val="Normal"/>
        <w:spacing w:before="40" w:after="80"/>
        <w:jc w:val="center"/>
        <w:rPr>
          <w:rFonts w:ascii="Times New Roman" w:hAnsi="Times New Roman" w:eastAsia="宋体"/>
          <w:b w:val="false"/>
          <w:sz w:val="18"/>
        </w:rPr>
      </w:pPr>
      <w:r>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20</w:t>
      </w:r>
      <w:r>
        <w:rPr>
          <w:rFonts w:ascii="Times New Roman" w:hAnsi="Times New Roman" w:eastAsia="宋体"/>
          <w:b w:val="false"/>
          <w:sz w:val="21"/>
        </w:rPr>
        <w:t>组随机种子（</w:t>
      </w:r>
      <w:r>
        <w:rPr>
          <w:rFonts w:eastAsia="宋体" w:ascii="Times New Roman" w:hAnsi="Times New Roman"/>
          <w:b w:val="false"/>
          <w:sz w:val="21"/>
        </w:rPr>
        <w:t>100~119</w:t>
      </w:r>
      <w:r>
        <w:rPr>
          <w:rFonts w:ascii="Times New Roman" w:hAnsi="Times New Roman" w:eastAsia="宋体"/>
          <w:b w:val="false"/>
          <w:sz w:val="21"/>
        </w:rPr>
        <w:t>）和仿真参数下运行，实验条件与</w:t>
      </w:r>
      <w:r>
        <w:rPr>
          <w:rFonts w:eastAsia="宋体" w:ascii="Times New Roman" w:hAnsi="Times New Roman"/>
          <w:b w:val="false"/>
          <w:sz w:val="21"/>
        </w:rPr>
        <w:t>3.1</w:t>
      </w:r>
      <w:r>
        <w:rPr>
          <w:rFonts w:ascii="Times New Roman" w:hAnsi="Times New Roman" w:eastAsia="宋体"/>
          <w:b w:val="false"/>
          <w:sz w:val="21"/>
        </w:rPr>
        <w:t>节一致。图</w:t>
      </w:r>
      <w:r>
        <w:rPr>
          <w:rFonts w:eastAsia="宋体" w:ascii="Times New Roman" w:hAnsi="Times New Roman"/>
          <w:b w:val="false"/>
          <w:sz w:val="21"/>
        </w:rPr>
        <w:t>4</w:t>
      </w:r>
      <w:r>
        <w:rPr>
          <w:rFonts w:ascii="Times New Roman" w:hAnsi="Times New Roman" w:eastAsia="宋体"/>
          <w:b w:val="false"/>
          <w:sz w:val="21"/>
        </w:rPr>
        <w:t>给出了三种方案在</w:t>
      </w:r>
      <w:r>
        <w:rPr>
          <w:rFonts w:eastAsia="宋体" w:ascii="Times New Roman" w:hAnsi="Times New Roman"/>
          <w:b w:val="false"/>
          <w:sz w:val="21"/>
        </w:rPr>
        <w:t>20</w:t>
      </w:r>
      <w:r>
        <w:rPr>
          <w:rFonts w:ascii="Times New Roman" w:hAnsi="Times New Roman" w:eastAsia="宋体"/>
          <w:b w:val="false"/>
          <w:sz w:val="21"/>
        </w:rPr>
        <w:t>次运行中的平均切换次数对比。</w:t>
      </w:r>
    </w:p>
    <w:p>
      <w:pPr>
        <w:pStyle w:val="Normal"/>
        <w:ind w:firstLine="420"/>
        <w:jc w:val="both"/>
        <w:rPr/>
      </w:pPr>
      <w:r>
        <w:rPr>
          <w:rFonts w:ascii="Times New Roman" w:hAnsi="Times New Roman" w:eastAsia="宋体"/>
          <w:b w:val="false"/>
          <w:sz w:val="21"/>
        </w:rPr>
        <w:drawing>
          <wp:inline distT="0" distB="0" distL="0" distR="0">
            <wp:extent cx="5768340" cy="3671570"/>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768340" cy="367157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零切换的贡献具有显著的协同效应——单独保留任一模块均无法完全抑制乒乓切换。注意力模块的缺失对切换次数的影响更为显著（从</w:t>
      </w:r>
      <w:r>
        <w:rPr>
          <w:rFonts w:eastAsia="宋体" w:ascii="Times New Roman" w:hAnsi="Times New Roman"/>
          <w:b w:val="false"/>
          <w:sz w:val="21"/>
        </w:rPr>
        <w:t>0</w:t>
      </w:r>
      <w:r>
        <w:rPr>
          <w:rFonts w:ascii="Times New Roman" w:hAnsi="Times New Roman" w:eastAsia="宋体"/>
          <w:b w:val="false"/>
          <w:sz w:val="21"/>
        </w:rPr>
        <w:t>次增至</w:t>
      </w:r>
      <w:r>
        <w:rPr>
          <w:rFonts w:eastAsia="宋体" w:ascii="Times New Roman" w:hAnsi="Times New Roman"/>
          <w:b w:val="false"/>
          <w:sz w:val="21"/>
        </w:rPr>
        <w:t>2.0</w:t>
      </w:r>
      <w:r>
        <w:rPr>
          <w:rFonts w:ascii="Times New Roman" w:hAnsi="Times New Roman" w:eastAsia="宋体"/>
          <w:b w:val="false"/>
          <w:sz w:val="21"/>
        </w:rPr>
        <w:t>次），说明在遥感巡航场景下动态权重调节对区分不同飞行阶段的网络需求具有不可替代的作用。</w:t>
      </w:r>
    </w:p>
    <w:p>
      <w:pPr>
        <w:pStyle w:val="Normal"/>
        <w:rPr/>
      </w:pPr>
      <w:r>
        <w:rPr/>
      </w:r>
    </w:p>
    <w:p>
      <w:pPr>
        <w:spacing w:before="240" w:after="120"/>
        <w:jc w:val="left"/>
      </w:pPr>
      <w:r>
        <w:rPr>
          <w:rFonts w:ascii="Times New Roman" w:hAnsi="Times New Roman" w:eastAsia="黑体"/>
          <w:b/>
          <w:sz w:val="22"/>
        </w:rPr>
        <w:t>3.5 自适应滞后与风险敏感决策机制</w:t>
      </w:r>
    </w:p>
    <w:p>
      <w:pPr>
        <w:ind w:firstLine="420"/>
        <w:jc w:val="both"/>
      </w:pPr>
      <w:r>
        <w:rPr>
          <w:rFonts w:ascii="Times New Roman" w:hAnsi="Times New Roman" w:eastAsia="宋体"/>
          <w:b w:val="0"/>
          <w:sz w:val="21"/>
        </w:rPr>
        <w:t xml:space="preserve">第3.2~3.4节的实验表明，LAAVHA的原生双重滞后机制（Delta_th=0.05, T=3）在代理网络场景下能够有效抑制全部乒乓切换。然而，固定参数的滞后机制缺乏对场景变化的适应能力——当网络波动加剧时，过低的阈值和时间窗口可能导致模型对瞬时信道异常做出不必要的切换响应；当飞行速度显著变化时，固定窗口可能无法及时响应真实的网络退化。此外，原始TOPSIS排序仅考虑候选网络的期望贴近度，未对评分序列的波动性进行风险建模——在贴近度接近（如5G=0.58, LTE=0.55, WiFi=0.52）时，缺乏稳定性惩罚可能导致选择波动更大的网络。为此，本节提出自适应滞后与风险敏感决策两项增强机制，无需重新训练模型即可提升LAAVHA在复杂场景下的适应性。</w:t>
      </w:r>
    </w:p>
    <w:p>
      <w:pPr>
        <w:ind w:firstLine="420"/>
        <w:jc w:val="both"/>
      </w:pPr>
      <w:r>
        <w:rPr>
          <w:rFonts w:ascii="Times New Roman" w:hAnsi="Times New Roman" w:eastAsia="宋体"/>
          <w:b w:val="0"/>
          <w:sz w:val="21"/>
        </w:rPr>
        <w:t xml:space="preserve">（1）自适应滞后参数。将固定阈值Delta_th和时间窗口T替换为上下文感知的可变参数。定义近期SINR波动度sigma_sinr为当前服务网络近5个决策周期SINR的标准差，飞行速度v由C++侧实时传入（单位m/s）。自适应阈值和窗口计算公式为：</w:t>
      </w:r>
    </w:p>
    <w:p>
      <w:pPr>
        <w:jc w:val="center"/>
        <w:spacing w:before="60" w:after="60"/>
      </w:pPr>
      <w:r>
        <w:rPr>
          <w:rFonts w:ascii="Times New Roman" w:hAnsi="Times New Roman" w:eastAsia="宋体"/>
          <w:b w:val="0"/>
          <w:sz w:val="20"/>
          <w:i/>
        </w:rPr>
        <w:t xml:space="preserve">Delta_th = 0.03 + 0.05 * clip(sigma_sinr/10, 0, 1)     (18a)</w:t>
        <w:br/>
        <w:t xml:space="preserve">T = max(2, floor(4 - 2 * clip(v/30, 0, 1)))           (18b)</w:t>
      </w:r>
    </w:p>
    <w:p>
      <w:pPr>
        <w:ind w:firstLine="420"/>
        <w:jc w:val="both"/>
      </w:pPr>
      <w:r>
        <w:rPr>
          <w:rFonts w:ascii="Times New Roman" w:hAnsi="Times New Roman" w:eastAsia="宋体"/>
          <w:b w:val="0"/>
          <w:sz w:val="21"/>
        </w:rPr>
        <w:t xml:space="preserve">式(18a)中，基础阈值0.03低于原始固定值0.05，在信道稳定时为快速响应预留了空间；波动修正项使阈值随SINR波动程度线性增长至最高0.08，在信道震荡时提高切换门槛以抑制乒乓。式(18b)中，基础窗口4为低速飞行提供充分的确认周期；速度修正项使窗口随飞行速度增加而缩短（最低为2），使快速移动的无人机在飞越覆盖边界时能够更及时地执行必要的切换。上述参数范围（Delta_th in [0.03, 0.08], T in [2,4]）确保了增强版在极端条件下仍具备基本防抖能力。</w:t>
      </w:r>
    </w:p>
    <w:p>
      <w:pPr>
        <w:ind w:firstLine="420"/>
        <w:jc w:val="both"/>
      </w:pPr>
      <w:r>
        <w:rPr>
          <w:rFonts w:ascii="Times New Roman" w:hAnsi="Times New Roman" w:eastAsia="宋体"/>
          <w:b w:val="0"/>
          <w:sz w:val="21"/>
        </w:rPr>
        <w:t xml:space="preserve">（2）风险敏感TOPSIS。原始TOPSIS直接以式(15)的当前贴近度C_i作为网络排序依据。增强版引入置信下界（Lower Confidence Bound, LCB）思想，对每项候选网络评分减去其历史波动惩罚项：</w:t>
      </w:r>
    </w:p>
    <w:p>
      <w:pPr>
        <w:jc w:val="center"/>
        <w:spacing w:before="60" w:after="60"/>
      </w:pPr>
      <w:r>
        <w:rPr>
          <w:rFonts w:ascii="Times New Roman" w:hAnsi="Times New Roman" w:eastAsia="宋体"/>
          <w:b w:val="0"/>
          <w:sz w:val="20"/>
          <w:i/>
        </w:rPr>
        <w:t xml:space="preserve">C^robust_i = C_i - lambda * std(C_i, last 5 steps),  lambda = 0.5   (19)</w:t>
      </w:r>
    </w:p>
    <w:p>
      <w:pPr>
        <w:ind w:firstLine="420"/>
        <w:jc w:val="both"/>
      </w:pPr>
      <w:r>
        <w:rPr>
          <w:rFonts w:ascii="Times New Roman" w:hAnsi="Times New Roman" w:eastAsia="宋体"/>
          <w:b w:val="0"/>
          <w:sz w:val="21"/>
        </w:rPr>
        <w:t xml:space="preserve">其中std(C_i, last 5 steps)为候选网络i近5个决策周期贴近度的标准差，lambda=0.5为风险厌恶系数。该机制的思想是：在多个候选网络贴近度接近时，优先选择评分稳定的网络而非均值略高但波动剧烈的网络。在遥感巡航场景中，这意味着若LTE在近5个周期内贴近度持续上升、方差较小，而WiFi贴近度在高低之间大幅跳动，即使WiFi的当前贴近度略高于LTE，C^robust排序仍将偏好LTE——从而降低"刚切过去又切回来"的风险。</w:t>
      </w:r>
    </w:p>
    <w:p>
      <w:pPr>
        <w:jc w:val="center"/>
      </w:pPr>
      <w:r>
        <w:drawing>
          <wp:inline distT="0" distB="0" distL="0" distR="0">
            <wp:extent cx="9144000" cy="70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3"/>
                    <a:stretch>
                      <a:fillRect/>
                    </a:stretch>
                  </pic:blipFill>
                  <pic:spPr>
                    <a:xfrm>
                      <a:off x="0" y="0"/>
                      <a:ext cx="9144000" cy="7000000"/>
                    </a:xfrm>
                    <a:prstGeom prst="rect">
                      <a:avLst/>
                    </a:prstGeom>
                  </pic:spPr>
                </pic:pic>
              </a:graphicData>
            </a:graphic>
          </wp:inline>
        </w:drawing>
      </w:r>
    </w:p>
    <w:p>
      <w:pPr>
        <w:jc w:val="center"/>
        <w:spacing w:before="40" w:after="80"/>
      </w:pPr>
      <w:r>
        <w:rPr>
          <w:rFonts w:ascii="Times New Roman" w:hAnsi="Times New Roman" w:eastAsia="宋体"/>
          <w:b w:val="0"/>
          <w:sz w:val="18"/>
        </w:rPr>
        <w:t>图5 LAAVHA与LAAVHA-enhanced在5G信道振荡压力场景下的对比（±15dB SINR振荡+WiFi增强, t=3-6s）</w:t>
      </w:r>
    </w:p>
    <w:p>
      <w:pPr>
        <w:ind w:firstLine="420"/>
        <w:jc w:val="both"/>
      </w:pPr>
      <w:r>
        <w:rPr>
          <w:rFonts w:ascii="Times New Roman" w:hAnsi="Times New Roman" w:eastAsia="宋体"/>
          <w:b w:val="0"/>
          <w:sz w:val="21"/>
        </w:rPr>
        <w:t xml:space="preserve">为验证自适应滞后机制对信道波动的响应能力，构造了5G信道振荡压力场景：在t=3-6s内对5G的SINR施加±15dB正弦振荡并同步注入时延/丢包率干扰，同时提升WiFi信号强度（+8 dB），模拟无人机飞入信道剧烈波动区域的极端情况。图5给出了该场景下两个版本的对比结果。</w:t>
      </w:r>
    </w:p>
    <w:p>
      <w:pPr>
        <w:ind w:firstLine="420"/>
        <w:jc w:val="both"/>
      </w:pPr>
      <w:r>
        <w:rPr>
          <w:rFonts w:ascii="Times New Roman" w:hAnsi="Times New Roman" w:eastAsia="宋体"/>
          <w:b w:val="0"/>
          <w:sz w:val="21"/>
        </w:rPr>
        <w:t xml:space="preserve">图5第四个子图展示了自适应阈值Delta_th随时间的变化曲线。在进入振荡区间（t=3 s）后，Delta_th迅速从稳态值0.03上升至峰值约0.06~0.07，显著高于固定阈值0.05——这表明自适应机制能够正确检测到SINR波动度的增加并自动提升切换门槛。当t=6 s后5G SINR恢复稳定，Delta_th平滑衰减回0.03水平，证明自适应参数具有可逆性，不会因历史波动而产生永久偏移。两个版本在本次压力测试中切换次数相同（均为2次），其根本原因在于5G代理模型下的TOPSIS贴近度始终与其他候选网络保持较大差距（最接近时仍&gt;0.12），波动幅度未能突破自适应阈值的保护区间——这正是滞后机制正确发挥作用的理想表现：即使面对显著的信道扰动，算法仍能维持决策稳定性，未因干扰引入额外切换。</w:t>
      </w:r>
    </w:p>
    <w:p>
      <w:pPr>
        <w:ind w:firstLine="420"/>
        <w:jc w:val="both"/>
      </w:pPr>
      <w:r>
        <w:rPr>
          <w:rFonts w:ascii="Times New Roman" w:hAnsi="Times New Roman" w:eastAsia="宋体"/>
          <w:b w:val="0"/>
          <w:sz w:val="21"/>
        </w:rPr>
        <w:t xml:space="preserve">需指出的是，自适应滞后和风险敏感TOPSIS机制的关键优势需要在真实NR协议栈和多样化信道条件下才能充分体现——当候选网络评分进入0.50~0.55的竞争区间时，自适应阈值和风险罚分项才能发挥区分作用。在当前的代理5G模型约束下，图5主要验证了自适应参数的动态响应行为是否符合设计预期（阈值随波动上升、波动消退后恢复），为此后的真实环境部署提供了机制级的功能验证。</w:t>
      </w:r>
    </w:p>
    <w:tbl>
      <w:tblPr>
        <w:tblStyle w:val="34"/>
        <w:tblW w:w="9524" w:type="dxa"/>
        <w:jc w:val="center"/>
        <w:tblLayout w:type="fixed"/>
        <w:tblCellMar>
          <w:top w:w="0" w:type="dxa"/>
          <w:left w:w="108" w:type="dxa"/>
          <w:bottom w:w="0" w:type="dxa"/>
          <w:right w:w="108" w:type="dxa"/>
        </w:tblCellMar>
      </w:tblPr>
      <w:tblGrid>
        <w:gridCol w:w="2380"/>
        <w:gridCol w:w="2380"/>
        <w:gridCol w:w="2380"/>
        <w:gridCol w:w="2384"/>
      </w:tblGrid>
      <w:tr>
        <w:tc>
          <w:tcPr>
            <w:tcW w:w="2380" w:type="dxa"/>
          </w:tcPr>
          <w:p>
            <w:pPr>
              <w:spacing w:before="0" w:after="100"/>
              <w:jc w:val="center"/>
            </w:pPr>
            <w:r>
              <w:rPr>
                <w:rFonts w:ascii="Times New Roman" w:hAnsi="Times New Roman" w:eastAsia="宋体"/>
                <w:b w:val="1"/>
                <w:sz w:val="18"/>
              </w:rPr>
              <w:t>方案</w:t>
            </w:r>
          </w:p>
        </w:tc>
        <w:tc>
          <w:tcPr>
            <w:tcW w:w="2380" w:type="dxa"/>
          </w:tcPr>
          <w:p>
            <w:pPr>
              <w:spacing w:before="0" w:after="100"/>
              <w:jc w:val="center"/>
            </w:pPr>
            <w:r>
              <w:rPr>
                <w:rFonts w:ascii="Times New Roman" w:hAnsi="Times New Roman" w:eastAsia="宋体"/>
                <w:b w:val="1"/>
                <w:sz w:val="18"/>
              </w:rPr>
              <w:t>平均切换次数</w:t>
            </w:r>
          </w:p>
        </w:tc>
        <w:tc>
          <w:tcPr>
            <w:tcW w:w="2380" w:type="dxa"/>
          </w:tcPr>
          <w:p>
            <w:pPr>
              <w:spacing w:before="0" w:after="100"/>
              <w:jc w:val="center"/>
            </w:pPr>
            <w:r>
              <w:rPr>
                <w:rFonts w:ascii="Times New Roman" w:hAnsi="Times New Roman" w:eastAsia="宋体"/>
                <w:b w:val="1"/>
                <w:sz w:val="18"/>
              </w:rPr>
              <w:t>标准差</w:t>
            </w:r>
          </w:p>
        </w:tc>
        <w:tc>
          <w:tcPr>
            <w:tcW w:w="2380" w:type="dxa"/>
          </w:tcPr>
          <w:p>
            <w:pPr>
              <w:spacing w:before="0" w:after="100"/>
              <w:jc w:val="center"/>
            </w:pPr>
            <w:r>
              <w:rPr>
                <w:rFonts w:ascii="Times New Roman" w:hAnsi="Times New Roman" w:eastAsia="宋体"/>
                <w:b w:val="1"/>
                <w:sz w:val="18"/>
              </w:rPr>
              <w:t>最终接入网络</w:t>
            </w:r>
          </w:p>
        </w:tc>
      </w:tr>
      <w:tr>
        <w:tc>
          <w:tcPr>
            <w:tcW w:w="2380" w:type="dxa"/>
          </w:tcPr>
          <w:p>
            <w:pPr>
              <w:spacing w:before="0" w:after="100"/>
              <w:jc w:val="center"/>
            </w:pPr>
            <w:r>
              <w:rPr>
                <w:rFonts w:ascii="Times New Roman" w:hAnsi="Times New Roman" w:eastAsia="宋体"/>
                <w:b w:val="0"/>
                <w:sz w:val="18"/>
              </w:rPr>
              <w:t>LAAVHA</w:t>
            </w:r>
          </w:p>
        </w:tc>
        <w:tc>
          <w:tcPr>
            <w:tcW w:w="2380" w:type="dxa"/>
          </w:tcPr>
          <w:p>
            <w:pPr>
              <w:spacing w:before="0" w:after="100"/>
              <w:jc w:val="center"/>
            </w:pPr>
            <w:r>
              <w:rPr>
                <w:rFonts w:ascii="Times New Roman" w:hAnsi="Times New Roman" w:eastAsia="宋体"/>
                <w:b w:val="0"/>
                <w:sz w:val="18"/>
              </w:rPr>
              <w:t>0.0</w:t>
            </w:r>
          </w:p>
        </w:tc>
        <w:tc>
          <w:tcPr>
            <w:tcW w:w="2380" w:type="dxa"/>
          </w:tcPr>
          <w:p>
            <w:pPr>
              <w:spacing w:before="0" w:after="100"/>
              <w:jc w:val="center"/>
            </w:pPr>
            <w:r>
              <w:rPr>
                <w:rFonts w:ascii="Times New Roman" w:hAnsi="Times New Roman" w:eastAsia="宋体"/>
                <w:b w:val="0"/>
                <w:sz w:val="18"/>
              </w:rPr>
              <w:t>0.00</w:t>
            </w:r>
          </w:p>
        </w:tc>
        <w:tc>
          <w:tcPr>
            <w:tcW w:w="2380" w:type="dxa"/>
          </w:tcPr>
          <w:p>
            <w:pPr>
              <w:spacing w:before="0" w:after="100"/>
              <w:jc w:val="center"/>
            </w:pPr>
            <w:r>
              <w:rPr>
                <w:rFonts w:ascii="Times New Roman" w:hAnsi="Times New Roman" w:eastAsia="宋体"/>
                <w:b w:val="0"/>
                <w:sz w:val="18"/>
              </w:rPr>
              <w:t>5G（20/20）</w:t>
            </w:r>
          </w:p>
        </w:tc>
      </w:tr>
      <w:tr>
        <w:tc>
          <w:tcPr>
            <w:tcW w:w="2380" w:type="dxa"/>
          </w:tcPr>
          <w:p>
            <w:pPr>
              <w:spacing w:before="0" w:after="100"/>
              <w:jc w:val="center"/>
            </w:pPr>
            <w:r>
              <w:rPr>
                <w:rFonts w:ascii="Times New Roman" w:hAnsi="Times New Roman" w:eastAsia="宋体"/>
                <w:b w:val="0"/>
                <w:sz w:val="18"/>
              </w:rPr>
              <w:t>LAAVHA-enhanced</w:t>
            </w:r>
          </w:p>
        </w:tc>
        <w:tc>
          <w:tcPr>
            <w:tcW w:w="2380" w:type="dxa"/>
          </w:tcPr>
          <w:p>
            <w:pPr>
              <w:spacing w:before="0" w:after="100"/>
              <w:jc w:val="center"/>
            </w:pPr>
            <w:r>
              <w:rPr>
                <w:rFonts w:ascii="Times New Roman" w:hAnsi="Times New Roman" w:eastAsia="宋体"/>
                <w:b w:val="0"/>
                <w:sz w:val="18"/>
              </w:rPr>
              <w:t>0.0</w:t>
            </w:r>
          </w:p>
        </w:tc>
        <w:tc>
          <w:tcPr>
            <w:tcW w:w="2380" w:type="dxa"/>
          </w:tcPr>
          <w:p>
            <w:pPr>
              <w:spacing w:before="0" w:after="100"/>
              <w:jc w:val="center"/>
            </w:pPr>
            <w:r>
              <w:rPr>
                <w:rFonts w:ascii="Times New Roman" w:hAnsi="Times New Roman" w:eastAsia="宋体"/>
                <w:b w:val="0"/>
                <w:sz w:val="18"/>
              </w:rPr>
              <w:t>0.00</w:t>
            </w:r>
          </w:p>
        </w:tc>
        <w:tc>
          <w:tcPr>
            <w:tcW w:w="2380" w:type="dxa"/>
          </w:tcPr>
          <w:p>
            <w:pPr>
              <w:spacing w:before="0" w:after="100"/>
              <w:jc w:val="center"/>
            </w:pPr>
            <w:r>
              <w:rPr>
                <w:rFonts w:ascii="Times New Roman" w:hAnsi="Times New Roman" w:eastAsia="宋体"/>
                <w:b w:val="0"/>
                <w:sz w:val="18"/>
              </w:rPr>
              <w:t>5G（20/20）</w:t>
            </w:r>
          </w:p>
        </w:tc>
      </w:tr>
    </w:tbl>
    <w:p>
      <w:pPr>
        <w:ind w:firstLine="420"/>
        <w:jc w:val="both"/>
      </w:pPr>
      <w:r>
        <w:rPr>
          <w:rFonts w:ascii="Times New Roman" w:hAnsi="Times New Roman" w:eastAsia="宋体"/>
          <w:b w:val="0"/>
          <w:sz w:val="21"/>
        </w:rPr>
        <w:t xml:space="preserve">在标准代理场景下，原始LAAVHA与LAAVHA-enhanced均保持0次切换（20/20），最终接入网络均为5G。这一结果表明，增强机制在稳定的网络环境中不会引入额外切换——自适应阈值在信道稳定时维持在较低水平（~0.03），与原始固定0.05相比并未损害防抖性能。LAAVHA-enhanced的关键创新不在于在简单场景中"更好"，而在于其架构设计为复杂场景（高波动信道、多径衰落、动态业务负载）提供了自适应能力储备：当SINR波动加剧时，式(18a)自动提升切换门槛至0.08以抑制乒乓；当飞行速度增至30 m/s时，式(18b)将确认窗口从4缩短至2以加速必要切换。式(19)的风险惩罚项则在候选网络评分接近时提供稳定性优先的排序偏好。这些机制在代理5G环境下的表现与原版一致，但其设计目标是为后续引入真实信道模型和多样化流量后的算法适应性奠定基础。</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面向无人机遥感监测中的广域多网络切换需求，研究了基于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自适应垂直切换方法。该方法利用堆叠</w:t>
      </w:r>
      <w:r>
        <w:rPr>
          <w:rFonts w:eastAsia="宋体" w:ascii="Times New Roman" w:hAnsi="Times New Roman"/>
          <w:b w:val="false"/>
          <w:sz w:val="21"/>
        </w:rPr>
        <w:t>LSTM</w:t>
      </w:r>
      <w:r>
        <w:rPr>
          <w:rFonts w:ascii="Times New Roman" w:hAnsi="Times New Roman" w:eastAsia="宋体"/>
          <w:b w:val="false"/>
          <w:sz w:val="21"/>
        </w:rPr>
        <w:t>预测候选网络状态的短期变化趋势，通过注意力机制根据飞行阶段自适应生成动态属性权重，结合融合决策矩阵与改进</w:t>
      </w:r>
      <w:r>
        <w:rPr>
          <w:rFonts w:eastAsia="宋体" w:ascii="Times New Roman" w:hAnsi="Times New Roman"/>
          <w:b w:val="false"/>
          <w:sz w:val="21"/>
        </w:rPr>
        <w:t>TOPSIS</w:t>
      </w:r>
      <w:r>
        <w:rPr>
          <w:rFonts w:ascii="Times New Roman" w:hAnsi="Times New Roman" w:eastAsia="宋体"/>
          <w:b w:val="false"/>
          <w:sz w:val="21"/>
        </w:rPr>
        <w:t>完成候选网络选择，并通过双重滞后机制抑制乒乓切换对遥感数据传输的干扰。基于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的决策级实验表明：在</w:t>
      </w:r>
      <w:r>
        <w:rPr>
          <w:rFonts w:eastAsia="宋体" w:ascii="Times New Roman" w:hAnsi="Times New Roman"/>
          <w:b w:val="false"/>
          <w:sz w:val="21"/>
        </w:rPr>
        <w:t>20</w:t>
      </w:r>
      <w:r>
        <w:rPr>
          <w:rFonts w:ascii="Times New Roman" w:hAnsi="Times New Roman" w:eastAsia="宋体"/>
          <w:b w:val="false"/>
          <w:sz w:val="21"/>
        </w:rPr>
        <w:t>组不同初始位置和航线的随机场景下，</w:t>
      </w:r>
      <w:r>
        <w:rPr>
          <w:rFonts w:eastAsia="宋体" w:ascii="Times New Roman" w:hAnsi="Times New Roman"/>
          <w:b w:val="false"/>
          <w:sz w:val="21"/>
        </w:rPr>
        <w:t>LAAVHA</w:t>
      </w:r>
      <w:r>
        <w:rPr>
          <w:rFonts w:ascii="Times New Roman" w:hAnsi="Times New Roman" w:eastAsia="宋体"/>
          <w:b w:val="false"/>
          <w:sz w:val="21"/>
        </w:rPr>
        <w:t>能够利用双重滞后机制有效过滤瞬时信道波动，平均切换次数为</w:t>
      </w:r>
      <w:r>
        <w:rPr>
          <w:rFonts w:eastAsia="宋体" w:ascii="Times New Roman" w:hAnsi="Times New Roman"/>
          <w:b w:val="false"/>
          <w:sz w:val="21"/>
        </w:rPr>
        <w:t>0</w:t>
      </w:r>
      <w:r>
        <w:rPr>
          <w:rFonts w:ascii="Times New Roman" w:hAnsi="Times New Roman" w:eastAsia="宋体"/>
          <w:b w:val="false"/>
          <w:sz w:val="21"/>
        </w:rPr>
        <w:t>次，在所有</w:t>
      </w:r>
      <w:r>
        <w:rPr>
          <w:rFonts w:eastAsia="宋体" w:ascii="Times New Roman" w:hAnsi="Times New Roman"/>
          <w:b w:val="false"/>
          <w:sz w:val="21"/>
        </w:rPr>
        <w:t>9</w:t>
      </w:r>
      <w:r>
        <w:rPr>
          <w:rFonts w:ascii="Times New Roman" w:hAnsi="Times New Roman" w:eastAsia="宋体"/>
          <w:b w:val="false"/>
          <w:sz w:val="21"/>
        </w:rPr>
        <w:t>种算法中保持最优——具体而言，</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3.9</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19.6</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13.6</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25.6</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23.1</w:t>
      </w:r>
      <w:r>
        <w:rPr>
          <w:rFonts w:ascii="Times New Roman" w:hAnsi="Times New Roman" w:eastAsia="宋体"/>
          <w:b w:val="false"/>
          <w:sz w:val="21"/>
        </w:rPr>
        <w:t>次、最强信号法为</w:t>
      </w:r>
      <w:r>
        <w:rPr>
          <w:rFonts w:eastAsia="宋体" w:ascii="Times New Roman" w:hAnsi="Times New Roman"/>
          <w:b w:val="false"/>
          <w:sz w:val="21"/>
        </w:rPr>
        <w:t>1.7</w:t>
      </w:r>
      <w:r>
        <w:rPr>
          <w:rFonts w:ascii="Times New Roman" w:hAnsi="Times New Roman" w:eastAsia="宋体"/>
          <w:b w:val="false"/>
          <w:sz w:val="21"/>
        </w:rPr>
        <w:t>次，</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0.5</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w:t>
      </w:r>
      <w:r>
        <w:rPr>
          <w:rFonts w:ascii="Times New Roman" w:hAnsi="Times New Roman" w:eastAsia="宋体"/>
          <w:b w:val="false"/>
          <w:sz w:val="21"/>
        </w:rPr>
        <w:t>次，最终网络均稳定接入</w:t>
      </w:r>
      <w:r>
        <w:rPr>
          <w:rFonts w:eastAsia="宋体" w:ascii="Times New Roman" w:hAnsi="Times New Roman"/>
          <w:b w:val="false"/>
          <w:sz w:val="21"/>
        </w:rPr>
        <w:t>5G</w:t>
      </w:r>
      <w:r>
        <w:rPr>
          <w:rFonts w:ascii="Times New Roman" w:hAnsi="Times New Roman" w:eastAsia="宋体"/>
          <w:b w:val="false"/>
          <w:sz w:val="21"/>
        </w:rPr>
        <w:t>，保障了遥感图像和飞控数据的连续传输。消融实验进一步确认了</w:t>
      </w:r>
      <w:r>
        <w:rPr>
          <w:rFonts w:eastAsia="宋体" w:ascii="Times New Roman" w:hAnsi="Times New Roman"/>
          <w:b w:val="false"/>
          <w:sz w:val="21"/>
        </w:rPr>
        <w:t>LSTM</w:t>
      </w:r>
      <w:r>
        <w:rPr>
          <w:rFonts w:ascii="Times New Roman" w:hAnsi="Times New Roman" w:eastAsia="宋体"/>
          <w:b w:val="false"/>
          <w:sz w:val="21"/>
        </w:rPr>
        <w:t>预测模块和注意力动态权重模块对决策稳定性和遥感数据可靠传输的协同贡献。</w:t>
      </w:r>
    </w:p>
    <w:p>
      <w:pPr>
        <w:pStyle w:val="Normal"/>
        <w:ind w:firstLine="420"/>
        <w:jc w:val="both"/>
        <w:rPr/>
      </w:pPr>
      <w:r>
        <w:rPr>
          <w:rFonts w:ascii="Times New Roman" w:hAnsi="Times New Roman" w:eastAsia="宋体"/>
          <w:b w:val="false"/>
          <w:sz w:val="21"/>
        </w:rPr>
        <w:t>当前实验仍存在以下局限：</w:t>
      </w:r>
      <w:r>
        <w:rPr>
          <w:rFonts w:eastAsia="宋体" w:ascii="Times New Roman" w:hAnsi="Times New Roman"/>
          <w:b w:val="false"/>
          <w:sz w:val="21"/>
        </w:rPr>
        <w:t>5G</w:t>
      </w:r>
      <w:r>
        <w:rPr>
          <w:rFonts w:ascii="Times New Roman" w:hAnsi="Times New Roman" w:eastAsia="宋体"/>
          <w:b w:val="false"/>
          <w:sz w:val="21"/>
        </w:rPr>
        <w:t>候选网络采用代理链路表示，并非真实</w:t>
      </w:r>
      <w:r>
        <w:rPr>
          <w:rFonts w:eastAsia="宋体" w:ascii="Times New Roman" w:hAnsi="Times New Roman"/>
          <w:b w:val="false"/>
          <w:sz w:val="21"/>
        </w:rPr>
        <w:t>NR</w:t>
      </w:r>
      <w:r>
        <w:rPr>
          <w:rFonts w:ascii="Times New Roman" w:hAnsi="Times New Roman" w:eastAsia="宋体"/>
          <w:b w:val="false"/>
          <w:sz w:val="21"/>
        </w:rPr>
        <w:t>协议栈</w:t>
      </w:r>
      <w:r>
        <w:rPr>
          <w:rFonts w:eastAsia="宋体" w:ascii="Times New Roman" w:hAnsi="Times New Roman"/>
          <w:b w:val="false"/>
          <w:sz w:val="21"/>
          <w:vertAlign w:val="superscript"/>
        </w:rPr>
        <w:t>[27]</w:t>
      </w:r>
      <w:r>
        <w:rPr>
          <w:rFonts w:ascii="Times New Roman" w:hAnsi="Times New Roman" w:eastAsia="宋体"/>
          <w:b w:val="false"/>
          <w:sz w:val="21"/>
        </w:rPr>
        <w:t>；切换记录为决策层网络编号变化，尚未执行真实协议层</w:t>
      </w:r>
      <w:r>
        <w:rPr>
          <w:rFonts w:eastAsia="宋体" w:ascii="Times New Roman" w:hAnsi="Times New Roman"/>
          <w:b w:val="false"/>
          <w:sz w:val="21"/>
        </w:rPr>
        <w:t>attach/detach</w:t>
      </w:r>
      <w:r>
        <w:rPr>
          <w:rFonts w:ascii="Times New Roman" w:hAnsi="Times New Roman" w:eastAsia="宋体"/>
          <w:b w:val="false"/>
          <w:sz w:val="21"/>
        </w:rPr>
        <w:t>过程；随机性主要来自初始位置和高度扰动，尚未引入更复杂的业务流模型和信道衰落</w:t>
      </w:r>
      <w:r>
        <w:rPr>
          <w:rFonts w:eastAsia="宋体" w:ascii="Times New Roman" w:hAnsi="Times New Roman"/>
          <w:b w:val="false"/>
          <w:sz w:val="21"/>
          <w:vertAlign w:val="superscript"/>
        </w:rPr>
        <w:t>[28]</w:t>
      </w:r>
      <w:r>
        <w:rPr>
          <w:rFonts w:ascii="Times New Roman" w:hAnsi="Times New Roman" w:eastAsia="宋体"/>
          <w:b w:val="false"/>
          <w:sz w:val="21"/>
        </w:rPr>
        <w:t>。</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CHANDRAN I, VIPIN K. Multi-UAV networks for disaster monitoring: challenges and opportunities from a network perspective[J]. Drone Systems and Applications, 2024, 12: 1-28.</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11"/>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3" Type="http://schemas.openxmlformats.org/officeDocument/2006/relationships/image" Target="media/image5.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Application>LibreOffice/24.2.7.2$Linux_X86_64 LibreOffice_project/420$Build-2</Application>
  <AppVersion>15.0000</AppVersion>
  <Pages>11</Pages>
  <Words>7700</Words>
  <Characters>15506</Characters>
  <CharactersWithSpaces>17262</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2026-06-04T13:11:33Z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