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F9A13">
      <w:pPr>
        <w:spacing w:after="80"/>
        <w:jc w:val="center"/>
        <w:rPr>
          <w:rFonts w:hint="default" w:ascii="Times New Roman" w:hAnsi="Times New Roman" w:cs="Times New Roman"/>
          <w:b/>
          <w:sz w:val="32"/>
          <w:szCs w:val="32"/>
        </w:rPr>
      </w:pPr>
      <w:r>
        <w:rPr>
          <w:rFonts w:hint="default" w:ascii="Times New Roman" w:hAnsi="Times New Roman" w:eastAsia="黑体" w:cs="Times New Roman"/>
          <w:b/>
          <w:sz w:val="32"/>
          <w:szCs w:val="32"/>
        </w:rPr>
        <w:t>Cover Letter</w:t>
      </w:r>
    </w:p>
    <w:p w14:paraId="61E399A0">
      <w:pPr>
        <w:spacing w:after="80"/>
        <w:rPr>
          <w:rFonts w:hint="default" w:ascii="Times New Roman" w:hAnsi="Times New Roman" w:eastAsia="黑体" w:cs="Times New Roman"/>
          <w:sz w:val="32"/>
          <w:szCs w:val="32"/>
        </w:rPr>
      </w:pPr>
      <w:r>
        <w:rPr>
          <w:rFonts w:hint="default" w:ascii="Times New Roman" w:hAnsi="Times New Roman" w:eastAsia="黑体" w:cs="Times New Roman"/>
          <w:b/>
          <w:sz w:val="32"/>
          <w:szCs w:val="32"/>
        </w:rPr>
        <w:t>一、研究内容及其重要性</w:t>
      </w:r>
    </w:p>
    <w:p w14:paraId="442D964C">
      <w:pPr>
        <w:spacing w:after="80"/>
        <w:ind w:firstLine="480"/>
        <w:rPr>
          <w:rFonts w:hint="default" w:ascii="Times New Roman" w:hAnsi="Times New Roman" w:cs="Times New Roman"/>
          <w:sz w:val="28"/>
          <w:szCs w:val="28"/>
        </w:rPr>
      </w:pPr>
      <w:r>
        <w:rPr>
          <w:rFonts w:hint="default" w:ascii="Times New Roman" w:hAnsi="Times New Roman" w:cs="Times New Roman"/>
          <w:b w:val="0"/>
          <w:sz w:val="28"/>
          <w:szCs w:val="28"/>
        </w:rPr>
        <w:t>无人机遥感的核心产出是高分辨率光学与多光谱影像等观测数据，其价值高度依赖于回传链路的连续性与时效性。在灾害评估、农情调查与环境监测等任务中，无人机需要长时间、大范围巡航，不可避免地反复跨越异构网络的覆盖边界。此时若切换决策滞后，将造成影像回传中断与数据缺失；若在边界处频繁发生乒乓切换，则会引入额外时延与丢包，同样损害遥感数据的完整性。因此，垂直切换的稳定性直接决定了无人机遥感观测数据能否被可靠、实时地获取，这是遥感数据获取环节中一个尚未被充分解决的问题。</w:t>
      </w:r>
    </w:p>
    <w:p w14:paraId="151A3FC5">
      <w:pPr>
        <w:spacing w:after="80"/>
        <w:ind w:firstLine="480"/>
        <w:rPr>
          <w:rFonts w:hint="default" w:ascii="Times New Roman" w:hAnsi="Times New Roman" w:cs="Times New Roman"/>
          <w:sz w:val="28"/>
          <w:szCs w:val="28"/>
        </w:rPr>
      </w:pPr>
      <w:r>
        <w:rPr>
          <w:rFonts w:hint="default" w:ascii="Times New Roman" w:hAnsi="Times New Roman" w:cs="Times New Roman"/>
          <w:b w:val="0"/>
          <w:sz w:val="28"/>
          <w:szCs w:val="28"/>
        </w:rPr>
        <w:t>本文的主要贡献是：在多属性决策框架中引入时序预测与动态权重，使切换决策不再仅依赖当前时刻的网络状态。LAAVHA 由堆叠 LSTM 短时状态预测、基于注意力机制的动态属性加权、融合当前与预测状态的改进 TOPSIS 排序，以及双迟滞判决四个环节构成；ALERA 在</w:t>
      </w:r>
      <w:bookmarkStart w:id="0" w:name="_GoBack"/>
      <w:bookmarkEnd w:id="0"/>
      <w:r>
        <w:rPr>
          <w:rFonts w:hint="default" w:ascii="Times New Roman" w:hAnsi="Times New Roman" w:cs="Times New Roman"/>
          <w:b w:val="0"/>
          <w:sz w:val="28"/>
          <w:szCs w:val="28"/>
        </w:rPr>
        <w:t>不改动 LSTM-注意力结构与训练过程的前提下，进一步加入自适应动态迟滞（ADH）与风险敏感 TOPSIS（RS-TOPSIS），分别改进“何时切换”与“切换到哪一个网络”两个决策维度。</w:t>
      </w:r>
    </w:p>
    <w:p w14:paraId="616F2CFB">
      <w:pPr>
        <w:spacing w:after="80"/>
        <w:rPr>
          <w:rFonts w:hint="default" w:ascii="Times New Roman" w:hAnsi="Times New Roman" w:eastAsia="黑体" w:cs="Times New Roman"/>
          <w:sz w:val="32"/>
          <w:szCs w:val="32"/>
        </w:rPr>
      </w:pPr>
      <w:r>
        <w:rPr>
          <w:rFonts w:hint="default" w:ascii="Times New Roman" w:hAnsi="Times New Roman" w:eastAsia="黑体" w:cs="Times New Roman"/>
          <w:b/>
          <w:sz w:val="32"/>
          <w:szCs w:val="32"/>
        </w:rPr>
        <w:t>二、与已有研究的关系</w:t>
      </w:r>
    </w:p>
    <w:p w14:paraId="7CC3FF71">
      <w:pPr>
        <w:spacing w:after="80"/>
        <w:ind w:firstLine="480"/>
        <w:rPr>
          <w:rFonts w:hint="default" w:ascii="Times New Roman" w:hAnsi="Times New Roman" w:cs="Times New Roman"/>
          <w:sz w:val="28"/>
          <w:szCs w:val="28"/>
        </w:rPr>
      </w:pPr>
      <w:r>
        <w:rPr>
          <w:rFonts w:hint="default" w:ascii="Times New Roman" w:hAnsi="Times New Roman" w:cs="Times New Roman"/>
          <w:b w:val="0"/>
          <w:sz w:val="28"/>
          <w:szCs w:val="28"/>
        </w:rPr>
        <w:t>现有的垂直切换方法多基于 SAW、TOPSIS、VIKOR、GRA、SPOTIS、COPRAS 等多属性决策模型，普遍采用固定权重并仅使用当前时刻指标，缺少对链路状态演化趋势的建模；而最强信号选择类方法仅考虑 SINR，忽略时延、吞吐量与丢包率等对遥感数据回传同样关键的指标。这使得在覆盖边界附近候选网络评分交替占优时，容易产生重复切换。</w:t>
      </w:r>
    </w:p>
    <w:p w14:paraId="1EE48B1C">
      <w:pPr>
        <w:spacing w:after="80"/>
        <w:ind w:firstLine="480"/>
        <w:rPr>
          <w:rFonts w:hint="default" w:ascii="Times New Roman" w:hAnsi="Times New Roman" w:cs="Times New Roman"/>
          <w:sz w:val="28"/>
          <w:szCs w:val="28"/>
        </w:rPr>
      </w:pPr>
      <w:r>
        <w:rPr>
          <w:rFonts w:hint="default" w:ascii="Times New Roman" w:hAnsi="Times New Roman" w:cs="Times New Roman"/>
          <w:b w:val="0"/>
          <w:sz w:val="28"/>
          <w:szCs w:val="28"/>
        </w:rPr>
        <w:t>我们在 ns-3.45 与 ns3-ai 平台上、于 2000 m × 2000 m 的无人机遥感场景中使用 50 组随机种子进行了对比实验。结果显示，LAAVHA 在 11 种算法中取得最低的平均切换次数 0.24，相对八种基线方法降低 84.8%–99.1%，其中 38 次运行完全无需切换。消融实验进一步表明，去除 LSTM 预测或注意力动态加权后，平均切换次数分别升至 1.08 与 2.00，说明两个模块具有互补作用。在链路持续劣化与瞬时波动两类情形下，ALERA 既完成了全部必要切换，又未产生虚假切换。这些结果说明，将时序预测与动态权重结合，能够在不牺牲必要切换及时性的前提下显著抑制不必要的切换。</w:t>
      </w:r>
    </w:p>
    <w:p w14:paraId="79864762">
      <w:pPr>
        <w:spacing w:after="80"/>
        <w:rPr>
          <w:rFonts w:hint="default" w:ascii="Times New Roman" w:hAnsi="Times New Roman" w:eastAsia="黑体" w:cs="Times New Roman"/>
          <w:sz w:val="32"/>
          <w:szCs w:val="32"/>
        </w:rPr>
      </w:pPr>
      <w:r>
        <w:rPr>
          <w:rFonts w:hint="default" w:ascii="Times New Roman" w:hAnsi="Times New Roman" w:eastAsia="黑体" w:cs="Times New Roman"/>
          <w:b/>
          <w:sz w:val="32"/>
          <w:szCs w:val="32"/>
        </w:rPr>
        <w:t>三、与《Remote Sensing》的关联及适用性</w:t>
      </w:r>
    </w:p>
    <w:p w14:paraId="28643ACB">
      <w:pPr>
        <w:spacing w:after="80"/>
        <w:ind w:firstLine="480"/>
        <w:rPr>
          <w:rFonts w:hint="default" w:ascii="Times New Roman" w:hAnsi="Times New Roman" w:cs="Times New Roman"/>
          <w:sz w:val="28"/>
          <w:szCs w:val="28"/>
        </w:rPr>
      </w:pPr>
      <w:r>
        <w:rPr>
          <w:rFonts w:hint="default" w:ascii="Times New Roman" w:hAnsi="Times New Roman" w:cs="Times New Roman"/>
          <w:b w:val="0"/>
          <w:sz w:val="28"/>
          <w:szCs w:val="28"/>
        </w:rPr>
        <w:t>本文的研究对象与研究目的均落在无人机遥感范畴内。首先，问题来源于遥感任务本身：论文所建模的飞行航迹、飞行高度（50–150 m）、巡航速度（5–30 m/s）以及地面站与重点成像点附近的网络部署，均按无人机遥感观测任务设定，而非一般性的通信仿真场景。其次，优化目标是遥感数据的获取质量：算法以维持影像回传的连续性与实时性为目的，切换稳定性指标直接对应观测数据是否完整可用。第三，本文属于遥感数据获取链路中的使能技术研究，为无人机遥感平台在异构网络下的实时数据传输提供了可用的决策方法，可支撑灾害评估、农业调查与环境监测等遥感应用。</w:t>
      </w:r>
    </w:p>
    <w:p w14:paraId="52EE6741">
      <w:pPr>
        <w:spacing w:after="80"/>
        <w:ind w:firstLine="480"/>
        <w:rPr>
          <w:rFonts w:hint="default" w:ascii="Times New Roman" w:hAnsi="Times New Roman" w:cs="Times New Roman"/>
          <w:sz w:val="28"/>
          <w:szCs w:val="28"/>
        </w:rPr>
      </w:pPr>
      <w:r>
        <w:rPr>
          <w:rFonts w:hint="default" w:ascii="Times New Roman" w:hAnsi="Times New Roman" w:cs="Times New Roman"/>
          <w:b w:val="0"/>
          <w:sz w:val="28"/>
          <w:szCs w:val="28"/>
        </w:rPr>
        <w:t>据此，我们认为本文契合贵刊在无人机遥感（UAV remote sensing）以及遥感数据获取与传输方面的征稿范围，尤其与无人机遥感平台、系统与数据链路相关的主题相符。</w:t>
      </w:r>
    </w:p>
    <w:p w14:paraId="0F9A34F8">
      <w:pPr>
        <w:spacing w:after="80"/>
        <w:rPr>
          <w:rFonts w:hint="default" w:ascii="Times New Roman" w:hAnsi="Times New Roman" w:cs="Times New Roman"/>
          <w:sz w:val="28"/>
          <w:szCs w:val="28"/>
        </w:rPr>
      </w:pPr>
      <w:r>
        <w:rPr>
          <w:rFonts w:hint="default" w:ascii="Times New Roman" w:hAnsi="Times New Roman" w:cs="Times New Roman"/>
          <w:b/>
          <w:sz w:val="28"/>
          <w:szCs w:val="28"/>
        </w:rPr>
        <w:t>四、相关声明</w:t>
      </w:r>
    </w:p>
    <w:p w14:paraId="73F37B45">
      <w:pPr>
        <w:spacing w:after="80"/>
        <w:rPr>
          <w:rFonts w:hint="default" w:ascii="Times New Roman" w:hAnsi="Times New Roman" w:cs="Times New Roman"/>
          <w:sz w:val="28"/>
          <w:szCs w:val="28"/>
        </w:rPr>
      </w:pPr>
      <w:r>
        <w:rPr>
          <w:rFonts w:hint="default" w:ascii="Times New Roman" w:hAnsi="Times New Roman" w:cs="Times New Roman"/>
          <w:b w:val="0"/>
          <w:sz w:val="28"/>
          <w:szCs w:val="28"/>
        </w:rPr>
        <w:t>We confirm that neither the manuscript nor any parts of its content are currently under consideration for publication with or published in another journal.</w:t>
      </w:r>
    </w:p>
    <w:p w14:paraId="559234E6">
      <w:pPr>
        <w:spacing w:after="80"/>
        <w:rPr>
          <w:rFonts w:hint="default" w:ascii="Times New Roman" w:hAnsi="Times New Roman" w:cs="Times New Roman"/>
          <w:sz w:val="28"/>
          <w:szCs w:val="28"/>
        </w:rPr>
      </w:pPr>
      <w:r>
        <w:rPr>
          <w:rFonts w:hint="default" w:ascii="Times New Roman" w:hAnsi="Times New Roman" w:cs="Times New Roman"/>
          <w:b w:val="0"/>
          <w:sz w:val="28"/>
          <w:szCs w:val="28"/>
        </w:rPr>
        <w:t>All authors have approved the manuscript and agree with its submission to Remote Sensing.</w:t>
      </w:r>
    </w:p>
    <w:sectPr>
      <w:pgSz w:w="11906" w:h="16838"/>
      <w:pgMar w:top="1134"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文泉驿微米黑">
    <w:panose1 w:val="020B0606030804020204"/>
    <w:charset w:val="86"/>
    <w:family w:val="auto"/>
    <w:pitch w:val="default"/>
    <w:sig w:usb0="E10002EF" w:usb1="6BDFFCFB" w:usb2="00800036" w:usb3="00000000" w:csb0="603E019F" w:csb1="DFD70000"/>
  </w:font>
  <w:font w:name="Cambria">
    <w:altName w:val="Caladea"/>
    <w:panose1 w:val="02040503050406030204"/>
    <w:charset w:val="00"/>
    <w:family w:val="auto"/>
    <w:pitch w:val="default"/>
    <w:sig w:usb0="00000000" w:usb1="00000000" w:usb2="00000000" w:usb3="00000000" w:csb0="0000019F" w:csb1="00000000"/>
  </w:font>
  <w:font w:name="Caladea">
    <w:panose1 w:val="02040503050406030204"/>
    <w:charset w:val="00"/>
    <w:family w:val="auto"/>
    <w:pitch w:val="default"/>
    <w:sig w:usb0="00000007" w:usb1="00000000" w:usb2="00000000" w:usb3="00000000" w:csb0="20000093" w:csb1="00000000"/>
  </w:font>
  <w:font w:name="ＭＳ 明朝">
    <w:altName w:val="C059"/>
    <w:panose1 w:val="00000000000000000000"/>
    <w:charset w:val="80"/>
    <w:family w:val="roman"/>
    <w:pitch w:val="default"/>
    <w:sig w:usb0="00000000" w:usb1="00000000" w:usb2="00000010" w:usb3="00000000" w:csb0="00020000" w:csb1="00000000"/>
  </w:font>
  <w:font w:name="C059">
    <w:panose1 w:val="00000500000000000000"/>
    <w:charset w:val="00"/>
    <w:family w:val="auto"/>
    <w:pitch w:val="default"/>
    <w:sig w:usb0="00000287" w:usb1="00000800" w:usb2="00000000" w:usb3="00000000" w:csb0="6000009F" w:csb1="00000000"/>
  </w:font>
  <w:font w:name="ＭＳ 明朝">
    <w:altName w:val="C059"/>
    <w:panose1 w:val="00000000000000000000"/>
    <w:charset w:val="86"/>
    <w:family w:val="auto"/>
    <w:pitch w:val="default"/>
    <w:sig w:usb0="00000000" w:usb1="00000000" w:usb2="00000000" w:usb3="00000000" w:csb0="00000000" w:csb1="00000000"/>
  </w:font>
  <w:font w:name="ＭＳ ゴシック">
    <w:altName w:val="C059"/>
    <w:panose1 w:val="00000000000000000000"/>
    <w:charset w:val="80"/>
    <w:family w:val="modern"/>
    <w:pitch w:val="default"/>
    <w:sig w:usb0="00000000" w:usb1="00000000" w:usb2="00000010" w:usb3="00000000" w:csb0="00020000" w:csb1="00000000"/>
  </w:font>
  <w:font w:name="ＭＳ 明朝">
    <w:altName w:val="C059"/>
    <w:panose1 w:val="00000000000000000000"/>
    <w:charset w:val="00"/>
    <w:family w:val="auto"/>
    <w:pitch w:val="default"/>
    <w:sig w:usb0="00000000" w:usb1="00000000" w:usb2="00000000" w:usb3="00000000" w:csb0="00000000" w:csb1="00000000"/>
  </w:font>
  <w:font w:name="Courier">
    <w:panose1 w:val="00000000000000000000"/>
    <w:charset w:val="00"/>
    <w:family w:val="auto"/>
    <w:pitch w:val="default"/>
    <w:sig w:usb0="00000000" w:usb1="00000000" w:usb2="00000000" w:usb3="00000000" w:csb0="00000000" w:csb1="00000000"/>
  </w:font>
  <w:font w:name="OpenSymbol">
    <w:panose1 w:val="05010000000000000000"/>
    <w:charset w:val="00"/>
    <w:family w:val="auto"/>
    <w:pitch w:val="default"/>
    <w:sig w:usb0="800000AF" w:usb1="1001ECEA" w:usb2="00000000" w:usb3="00000000" w:csb0="80000001" w:csb1="00000000"/>
  </w:font>
  <w:font w:name="ＭＳ ゴシック">
    <w:altName w:val="C059"/>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7B359E"/>
    <w:rsid w:val="1FFFE83A"/>
    <w:rsid w:val="76FBE53C"/>
    <w:rsid w:val="7BFCE03F"/>
    <w:rsid w:val="BBFF5FD3"/>
    <w:rsid w:val="EADF17E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6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Office_12.1.2.28080_F1E327BC-269C-435d-A152-05C5408002CA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吃一口咸</cp:lastModifiedBy>
  <dcterms:modified xsi:type="dcterms:W3CDTF">2026-09-08T18:06:20Z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2052-12.1.2.28080</vt:lpwstr>
  </property>
  <property fmtid="{D5CDD505-2E9C-101B-9397-08002B2CF9AE}" pid="3" name="ICV">
    <vt:lpwstr>CF072E88C968A8830AD39F6A4B49A0FD_42</vt:lpwstr>
  </property>
</Properties>
</file>