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 / LAAVHA-enhanced</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spacing w:before="240" w:after="120"/>
        <w:jc w:val="left"/>
      </w:pPr>
      <w:r>
        <w:rPr>
          <w:rFonts w:ascii="Times New Roman" w:hAnsi="Times New Roman" w:eastAsia="黑体"/>
          <w:b/>
          <w:sz w:val="22"/>
        </w:rPr>
        <w:t xml:space="preserve">3.5 </w:t>
      </w:r>
      <w:r>
        <w:rPr>
          <w:rFonts w:ascii="Times New Roman" w:hAnsi="Times New Roman" w:eastAsia="黑体"/>
          <w:b/>
          <w:sz w:val="22"/>
        </w:rPr>
        <w:t>自适应滞后与风险敏感决策机制</w:t>
      </w:r>
    </w:p>
    <w:p>
      <w:pPr>
        <w:ind w:firstLine="420"/>
        <w:jc w:val="both"/>
      </w:pPr>
      <w:r>
        <w:rPr>
          <w:rFonts w:ascii="Times New Roman" w:hAnsi="Times New Roman" w:eastAsia="宋体"/>
          <w:b w:val="0"/>
          <w:sz w:val="21"/>
        </w:rPr>
        <w:t xml:space="preserve">第3.2~3.4节的实验表明，LAAVHA的原生双重滞后机制（Delta_th=0.05, T=3）在代理网络场景下能够有效抑制全部乒乓切换。然而，固定参数的滞后机制缺乏对场景变化的适应能力——当网络波动加剧时，过低的阈值和时间窗口可能导致模型对瞬时信道异常做出不必要的切换响应；当飞行速度显著变化时，固定窗口可能无法及时响应真实的网络退化。此外，原始TOPSIS排序仅考虑候选网络的期望贴近度，未对评分序列的波动性进行风险建模——在贴近度接近（如5G=0.58, LTE=0.55, WiFi=0.52）时，缺乏稳定性惩罚可能导致选择波动更大的网络。为此，本节提出自适应滞后与风险敏感决策两项增强机制，无需重新训练模型即可提升LAAVHA在复杂场景下的适应性。</w:t>
      </w:r>
    </w:p>
    <w:p>
      <w:pPr>
        <w:ind w:firstLine="420"/>
        <w:jc w:val="both"/>
      </w:pPr>
      <w:r>
        <w:rPr>
          <w:rFonts w:ascii="Times New Roman" w:hAnsi="Times New Roman" w:eastAsia="宋体"/>
          <w:b w:val="0"/>
          <w:sz w:val="21"/>
        </w:rPr>
        <w:t xml:space="preserve">（1）自适应滞后参数。将固定阈值Delta_th和时间窗口T替换为上下文感知的可变参数。定义近期SINR波动度sigma_sinr为当前服务网络近5个决策周期SINR的标准差，飞行速度v由C++侧实时传入（单位m/s）。自适应阈值和窗口计算公式为：</w:t>
      </w:r>
    </w:p>
    <w:p>
      <w:pPr>
        <w:jc w:val="center"/>
        <w:spacing w:before="60" w:after="60"/>
      </w:pPr>
      <w:r>
        <w:rPr>
          <w:rFonts w:ascii="Times New Roman" w:hAnsi="Times New Roman" w:eastAsia="宋体"/>
          <w:b w:val="0"/>
          <w:sz w:val="20"/>
          <w:i/>
        </w:rPr>
        <w:t xml:space="preserve">Delta_th = 0.03 + 0.05 * clip(sigma_sinr/10, 0, 1)     (18a)</w:t>
        <w:br/>
      </w:r>
      <w:r>
        <w:rPr>
          <w:rFonts w:ascii="Times New Roman" w:hAnsi="Times New Roman" w:eastAsia="宋体"/>
          <w:b w:val="0"/>
          <w:sz w:val="20"/>
          <w:i/>
        </w:rPr>
        <w:t xml:space="preserve">T = max(2, floor(4 - 2 * clip(v/30, 0, 1)))           (18b)</w:t>
      </w:r>
    </w:p>
    <w:p>
      <w:pPr>
        <w:ind w:firstLine="420"/>
        <w:jc w:val="both"/>
      </w:pPr>
      <w:r>
        <w:rPr>
          <w:rFonts w:ascii="Times New Roman" w:hAnsi="Times New Roman" w:eastAsia="宋体"/>
          <w:b w:val="0"/>
          <w:sz w:val="21"/>
        </w:rPr>
        <w:t xml:space="preserve">式(18a)中，基础阈值0.03低于原始固定值0.05，在信道稳定时为快速响应预留了空间；波动修正项使阈值随SINR波动程度线性增长至最高0.08，在信道震荡时提高切换门槛以抑制乒乓。式(18b)中，基础窗口4为低速飞行提供充分的确认周期；速度修正项使窗口随飞行速度增加而缩短（最低为2），使快速移动的无人机在飞越覆盖边界时能够更及时地执行必要的切换。上述参数范围（Delta_th in [0.03, 0.08], T in [2,4]）确保了增强版在极端条件下仍具备基本防抖能力。</w:t>
      </w:r>
    </w:p>
    <w:p>
      <w:pPr>
        <w:ind w:firstLine="420"/>
        <w:jc w:val="both"/>
      </w:pPr>
      <w:r>
        <w:rPr>
          <w:rFonts w:ascii="Times New Roman" w:hAnsi="Times New Roman" w:eastAsia="宋体"/>
          <w:b w:val="0"/>
          <w:sz w:val="21"/>
        </w:rPr>
        <w:t xml:space="preserve">（2）风险敏感TOPSIS。原始TOPSIS直接以式(15)的当前贴近度C_i作为网络排序依据。增强版引入置信下界（Lower Confidence Bound, LCB）思想，对每项候选网络评分减去其历史波动惩罚项：</w:t>
      </w:r>
    </w:p>
    <w:p>
      <w:pPr>
        <w:jc w:val="center"/>
        <w:spacing w:before="60" w:after="60"/>
      </w:pPr>
      <w:r>
        <w:rPr>
          <w:rFonts w:ascii="Times New Roman" w:hAnsi="Times New Roman" w:eastAsia="宋体"/>
          <w:b w:val="0"/>
          <w:sz w:val="20"/>
          <w:i/>
        </w:rPr>
        <w:t xml:space="preserve">C^robust_i = C_i - lambda * std(C_i, last 5 steps),  lambda = 0.5   (19)</w:t>
      </w:r>
    </w:p>
    <w:p>
      <w:pPr>
        <w:ind w:firstLine="420"/>
        <w:jc w:val="both"/>
      </w:pPr>
      <w:r>
        <w:rPr>
          <w:rFonts w:ascii="Times New Roman" w:hAnsi="Times New Roman" w:eastAsia="宋体"/>
          <w:b w:val="0"/>
          <w:sz w:val="21"/>
        </w:rPr>
        <w:t xml:space="preserve">其中std(C_i, last 5 steps)为候选网络i近5个决策周期贴近度的标准差，lambda=0.5为风险厌恶系数。该机制的思想是：在多个候选网络贴近度接近时，优先选择评分稳定的网络而非均值略高但波动剧烈的网络。在遥感巡航场景中，这意味着若LTE在近5个周期内贴近度持续上升、方差较小，而WiFi贴近度在高低之间大幅跳动，即使WiFi的当前贴近度略高于LTE，C^robust排序仍将偏好LTE——从而降低"刚切过去又切回来"的风险。</w:t>
      </w:r>
    </w:p>
    <w:p>
      <w:pPr>
        <w:ind w:firstLine="420"/>
        <w:jc w:val="both"/>
      </w:pPr>
      <w:r>
        <w:rPr>
          <w:rFonts w:ascii="Times New Roman" w:hAnsi="Times New Roman" w:eastAsia="宋体"/>
          <w:b w:val="0"/>
          <w:sz w:val="21"/>
        </w:rPr>
        <w:t xml:space="preserve">（3）实验验证。为验证增强机制与原始版本的行为一致性，在相同实验参数下（10 s, 20组随机种子100~119, 位置扰动30 m, 高度扰动10 m）运行LAAVHA-enhanced的20次独立推理。表6给出了原始和增强版本在标准代理场景下的对比结果。</w:t>
      </w:r>
    </w:p>
    <w:p>
      <w:pPr>
        <w:ind w:firstLine="420"/>
        <w:jc w:val="both"/>
      </w:pPr>
      <w:r>
        <w:rPr>
          <w:rFonts w:ascii="Times New Roman" w:hAnsi="Times New Roman" w:eastAsia="宋体"/>
          <w:b w:val="0"/>
          <w:sz w:val="21"/>
        </w:rPr>
        <w:t xml:space="preserve">表6 原始与增强LAAVHA版本对比（20组种子, 各100次决策）</w:t>
      </w:r>
    </w:p>
    <w:p>
      <w:pPr>
        <w:ind w:firstLine="420"/>
        <w:jc w:val="both"/>
      </w:pPr>
      <w:r>
        <w:rPr>
          <w:rFonts w:ascii="Times New Roman" w:hAnsi="Times New Roman" w:eastAsia="宋体"/>
          <w:b w:val="0"/>
          <w:sz w:val="21"/>
        </w:rPr>
        <w:t xml:space="preserve">在标准代理场景下，原始LAAVHA与LAAVHA-enhanced均保持0次切换（20/20），最终接入网络均为5G。这一结果表明，增强机制在稳定的网络环境中不会引入额外切换——自适应阈值在信道稳定时维持在较低水平（~0.03），与原始固定0.05相比并未损害防抖性能。LAAVHA-enhanced的关键创新不在于在简单场景中"更好"，而在于其架构设计为复杂场景（高波动信道、多径衰落、动态业务负载）提供了自适应能力储备：当SINR波动加剧时，式(18a)自动提升切换门槛至0.08以抑制乒乓；当飞行速度增至30 m/s时，式(18b)将确认窗口从4缩短至2以加速必要切换。式(19)的风险惩罚项则在候选网络评分接近时提供稳定性优先的排序偏好。这些机制在代理5G环境下的表现与原版一致，但其设计目标是为后续引入真实信道模型和多样化流量后的算法适应性奠定基础。</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11</Pages>
  <Words>7700</Words>
  <Characters>15506</Characters>
  <CharactersWithSpaces>17262</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2026-06-04T13:11:33Z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