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0次（在20组随机种子中均未发生切换）。与TOPSIS-Q、VIKOR、GRA、COPRAS、SPOTIS及最强信号法等6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t xml:space="preserve">h_{2,k} = LSTM2(h_{1,k}; th2),   h_{2,k} in R^{10x64}                 (3)</w:t>
        <w:b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t xml:space="preserve">A = Attention(Q,K,V) = softmax(QK^T/sqrt(5))*V,   A in R^{3x5}         (6)</w:t>
        <w:br/>
        <w:t xml:space="preserve">c = mean(A, dim=0) in R^5                                                  (7)</w:t>
        <w:br/>
        <w:t xml:space="preserve">m = ReLU(W_mob * [v, h]^T),   W_mob: R^2 → R^16,   m in R^16             (8)</w:t>
        <w:b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t xml:space="preserve">d_ij = a * s_cur(i,j) + (1-a) * s_pred(i,j),   a = 0.6               (10b)</w:t>
        <w:b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t xml:space="preserve">v_ij = w_j * r_ij                                                             (12)</w:t>
        <w:br/>
        <w:t xml:space="preserve">v+_j = max_i v_ij,   v-_j = min_i v_ij                                    (13)</w:t>
        <w:br/>
        <w:t xml:space="preserve">D+_i = sqrt(Sum_{j=1}^5 (v_ij - v+_j)^2),  D-_i = sqrt(Sum (v_ij - v-_j)^2) (14)</w:t>
        <w:b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t xml:space="preserve">IF C(N*) - C(N_cur) &gt; D_th  AND  T consecutive cycles  THEN  switch to N*   (17)</w:t>
        <w:br/>
        <w:t xml:space="preserve">ELSE  keep N_cur</w:t>
        <w:b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pPr>
        <w:ind w:firstLine="420"/>
        <w:jc w:val="both"/>
      </w:pPr>
      <w:r>
        <w:rPr>
          <w:rFonts w:ascii="Times New Roman" w:hAnsi="Times New Roman" w:eastAsia="宋体"/>
          <w:b w:val="0"/>
          <w:sz w:val="21"/>
        </w:rPr>
        <w:t>实验除LAAVHA外，还运行了TOPSIS-Q、VIKOR、GRA、COPRAS、SPOTIS和最强信号法等6种对比算法以及LAAVHA-L、LAAVHA-A两种消融变体。这6种对比算法覆盖了补偿式（VIKOR）、距离式（TOPSIS-Q）、关联度式（GRA）、比例式（COPRAS）和参考点式（SPOTIS）五种主流MADM决策范式，为全面评估LAAVHA的决策性能提供了多维参照</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对比算法横向比较</w:t>
      </w:r>
    </w:p>
    <w:p>
      <w:pPr>
        <w:ind w:firstLine="420"/>
        <w:jc w:val="both"/>
      </w:pPr>
      <w:r>
        <w:rPr>
          <w:rFonts w:ascii="Times New Roman" w:hAnsi="Times New Roman" w:eastAsia="宋体"/>
          <w:b w:val="0"/>
          <w:sz w:val="21"/>
        </w:rPr>
        <w:t>为系统评估LAAVHA在不同决策范式下的性能优势，选择6种具有代表性的对比算法在同一实验条件下进行横向比较。TOPSIS-Q采用熵权法确定属性权重并执行标准TOPSIS排序，不涉及时序预测；GRA通过计算各候选网络与理想参考序列的灰色关联度进行排序，对不确定性信息具有较好的处理能力；VIKOR基于折中规划思想在群体效用与个体遗憾之间寻求平衡；COPRAS对效益型和成本型指标分别评估后计算综合效用度；SPOTIS利用固定参考边界进行稳定偏好排序；最强信号法直接选择当前SINR最大的候选网络，作为单因素基线的参考下限。图1给出了9种算法在20次独立仿真中的平均切换次数统计。</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6367288C">
      <w:pPr>
        <w:spacing w:before="240" w:after="120"/>
        <w:jc w:val="left"/>
      </w:pPr>
      <w:r>
        <w:rPr>
          <w:rFonts w:ascii="Times New Roman" w:hAnsi="Times New Roman" w:eastAsia="黑体"/>
          <w:b/>
          <w:sz w:val="22"/>
        </w:rPr>
        <w:t>3.3 候选网络评分与SINR趋势</w:t>
      </w:r>
    </w:p>
    <w:p>
      <w:pPr>
        <w:ind w:firstLine="420"/>
        <w:jc w:val="both"/>
      </w:pPr>
      <w:r>
        <w:rPr>
          <w:rFonts w:ascii="Times New Roman" w:hAnsi="Times New Roman" w:eastAsia="宋体"/>
          <w:b w:val="0"/>
          <w:sz w:val="21"/>
        </w:rPr>
        <w:t>图2展示了LAAVHA在20次运行中各候选网络SINR随仿真时间变化的均值与标准差。WiFi SINR随无人机远离接入点持续衰减——从初始的60~80 dB降至10 s后的30~50 dB，验证了遥感巡航场景中WiFi覆盖随飞行距离退化的核心假设；LTE SINR在整个飞行过程中保持相对平稳；5G代理链路SINR受假设gNB位置和传播模型共同决定。SINR变化趋势与候选网络评分趋势基本一致，但LAAVHA的最终网络选择并非由单一SINR指标决定——即使5G SINR数值较高，在综合评估时延、吞吐量和丢包率后，模型仍倾向于选择综合表现更优的网络，体现了多属性融合评价对遥感任务综合需求的匹配能力。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085BF38">
      <w:pPr>
        <w:spacing w:before="240" w:after="120"/>
        <w:jc w:val="left"/>
      </w:pPr>
      <w:r>
        <w:rPr>
          <w:rFonts w:ascii="Times New Roman" w:hAnsi="Times New Roman" w:eastAsia="黑体"/>
          <w:b/>
          <w:sz w:val="22"/>
        </w:rPr>
        <w:t>3.4 消融实验验证</w:t>
      </w:r>
    </w:p>
    <w:p>
      <w:pPr>
        <w:ind w:firstLine="420"/>
        <w:jc w:val="both"/>
      </w:pPr>
      <w:r>
        <w:rPr>
          <w:rFonts w:ascii="Times New Roman" w:hAnsi="Times New Roman" w:eastAsia="宋体"/>
          <w:b w:val="0"/>
          <w:sz w:val="21"/>
        </w:rPr>
        <w:t>为量化LSTM预测模块和注意力动态权重模块对LAAVHA决策质量的贡献，设计消融实验。LAAVHA-L为移除LSTM预测分支的版本，仅保留注意力权重和TOPSIS决策逻辑；LAAVHA-A为移除注意力动态权重的版本，采用等权重替代动态权重。两组消融变体与完整LAAVHA在相同的20组随机种子（100~119）和仿真参数下运行，实验条件与3.1节一致。图3给出了三种方案在20次运行中的平均切换次数对比。</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180/180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0.0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LAAVHA: 全部0次; TOPSIS-Q: 2~6次; GRA: 16~24次</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各算法均以5G为主</w:t>
            </w:r>
          </w:p>
        </w:tc>
      </w:tr>
    </w:tbl>
    <w:p w14:paraId="34222F27"/>
    <w:p w14:paraId="5582F7BE">
      <w:r>
        <w:rPr>
          <w:rFonts w:ascii="宋体" w:hAnsi="宋体" w:eastAsia="宋体"/>
          <w:b/>
          <w:sz w:val="24"/>
          <w:szCs w:val="24"/>
        </w:rPr>
        <w:t/>
      </w:r>
    </w:p>
    <w:p>
      <w:pPr>
        <w:ind w:firstLine="420"/>
        <w:jc w:val="both"/>
      </w:pPr>
      <w:r>
        <w:rPr>
          <w:rFonts w:ascii="Times New Roman" w:hAnsi="Times New Roman" w:eastAsia="宋体"/>
          <w:b w:val="0"/>
          <w:sz w:val="21"/>
        </w:rPr>
        <w:t>完整LAAVHA在20次运行中保持了0次切换，表明双重滞后机制在代理网络场景下能够有效抑制全部不必要的切换触发。LAAVHA-L（移除LSTM预测模块）的平均切换次数为0.5次（标准差0.89），在部分种子下出现了1~2次切换，说明缺少LSTM预测会导致在WiFi覆盖边缘附近的决策滞后——当无人机接近WiFi覆盖边界时，若仅依赖当前状态（无预测前瞻），评分可能在5G与WiFi之间出现短暂振荡，触发非必要的切换。LAAVHA-A（移除注意力动态权重，改用等权重）的平均切换次数为2.0次（标准差0.00），在所有20次运行中均发生了2次切换，说明固定权重无法根据遥感巡航的不同飞行阶段调整属性优先级，导致在某些决策周期（如靠近拍摄点的图像回传阶段）选择了次优网络。两组消融结果共同表明，LSTM预测模块和注意力动态权重模块对LAAVHA的零切换贡献具有显著的协同效应——单独保留任一模块均无法完全抑制乒乓切换。</w:t>
      </w:r>
    </w:p>
    <w:p w14:paraId="213812CF">
      <w:r>
        <w:rPr>
          <w:rFonts w:ascii="宋体" w:hAnsi="宋体" w:eastAsia="宋体"/>
          <w:sz w:val="18"/>
          <w:szCs w:val="18"/>
        </w:rPr>
        <w:t>表5 消融实验性能对比（20组随机种子，各100次决策）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0.0</w:t>
            </w:r>
          </w:p>
        </w:tc>
        <w:tc>
          <w:tcPr>
            <w:tcW w:w="1905" w:type="dxa"/>
          </w:tcPr>
          <w:p w14:paraId="48D27519">
            <w:pPr>
              <w:spacing w:before="0" w:after="200"/>
              <w:jc w:val="center"/>
            </w:pPr>
            <w:r>
              <w:rPr>
                <w:rFonts w:ascii="宋体" w:hAnsi="宋体"/>
                <w:sz w:val="16"/>
              </w:rPr>
              <w:t>0.0</w:t>
            </w:r>
          </w:p>
        </w:tc>
        <w:tc>
          <w:tcPr>
            <w:tcW w:w="1905" w:type="dxa"/>
          </w:tcPr>
          <w:p w14:paraId="43D877AD">
            <w:pPr>
              <w:spacing w:before="0" w:after="200"/>
              <w:jc w:val="center"/>
            </w:pPr>
            <w:r>
              <w:rPr>
                <w:rFonts w:ascii="宋体" w:hAnsi="宋体"/>
                <w:sz w:val="16"/>
              </w:rPr>
              <w:t>0.0</w:t>
            </w:r>
          </w:p>
        </w:tc>
        <w:tc>
          <w:tcPr>
            <w:tcW w:w="1906" w:type="dxa"/>
          </w:tcPr>
          <w:p w14:paraId="628787F7">
            <w:pPr>
              <w:spacing w:before="0" w:after="200"/>
              <w:jc w:val="center"/>
            </w:pPr>
            <w:r>
              <w:rPr>
                <w:rFonts w:ascii="宋体" w:hAnsi="宋体"/>
                <w:sz w:val="16"/>
              </w:rPr>
              <w:t>0.0</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0.5</w:t>
            </w:r>
          </w:p>
        </w:tc>
        <w:tc>
          <w:tcPr>
            <w:tcW w:w="1905" w:type="dxa"/>
          </w:tcPr>
          <w:p w14:paraId="704640C1">
            <w:pPr>
              <w:spacing w:before="0" w:after="200"/>
              <w:jc w:val="center"/>
            </w:pPr>
            <w:r>
              <w:rPr>
                <w:rFonts w:ascii="宋体" w:hAnsi="宋体"/>
                <w:sz w:val="16"/>
              </w:rPr>
              <w:t>0.5</w:t>
            </w:r>
          </w:p>
        </w:tc>
        <w:tc>
          <w:tcPr>
            <w:tcW w:w="1905" w:type="dxa"/>
          </w:tcPr>
          <w:p w14:paraId="41F57135">
            <w:pPr>
              <w:spacing w:before="0" w:after="200"/>
              <w:jc w:val="center"/>
            </w:pPr>
            <w:r>
              <w:rPr>
                <w:rFonts w:ascii="宋体" w:hAnsi="宋体"/>
                <w:sz w:val="16"/>
              </w:rPr>
              <w:t>0.7</w:t>
            </w:r>
          </w:p>
        </w:tc>
        <w:tc>
          <w:tcPr>
            <w:tcW w:w="1906" w:type="dxa"/>
          </w:tcPr>
          <w:p w14:paraId="76229F72">
            <w:pPr>
              <w:spacing w:before="0" w:after="200"/>
              <w:jc w:val="center"/>
            </w:pPr>
            <w:r>
              <w:rPr>
                <w:rFonts w:ascii="宋体" w:hAnsi="宋体"/>
                <w:sz w:val="16"/>
              </w:rPr>
              <w:t>0.0</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2.0</w:t>
            </w:r>
          </w:p>
        </w:tc>
        <w:tc>
          <w:tcPr>
            <w:tcW w:w="1905" w:type="dxa"/>
          </w:tcPr>
          <w:p w14:paraId="67B60C2F">
            <w:pPr>
              <w:spacing w:before="0" w:after="200"/>
              <w:jc w:val="center"/>
            </w:pPr>
            <w:r>
              <w:rPr>
                <w:rFonts w:ascii="宋体" w:hAnsi="宋体"/>
                <w:sz w:val="16"/>
              </w:rPr>
              <w:t>0.0</w:t>
            </w:r>
          </w:p>
        </w:tc>
        <w:tc>
          <w:tcPr>
            <w:tcW w:w="1905" w:type="dxa"/>
          </w:tcPr>
          <w:p w14:paraId="3AA0973F">
            <w:pPr>
              <w:spacing w:before="0" w:after="200"/>
              <w:jc w:val="center"/>
            </w:pPr>
            <w:r>
              <w:rPr>
                <w:rFonts w:ascii="宋体" w:hAnsi="宋体"/>
                <w:sz w:val="16"/>
              </w:rPr>
              <w:t>0.0</w:t>
            </w:r>
          </w:p>
        </w:tc>
        <w:tc>
          <w:tcPr>
            <w:tcW w:w="1906" w:type="dxa"/>
          </w:tcPr>
          <w:p w14:paraId="577AB0A8">
            <w:pPr>
              <w:spacing w:before="0" w:after="200"/>
              <w:jc w:val="center"/>
            </w:pPr>
            <w:r>
              <w:rPr>
                <w:rFonts w:ascii="宋体" w:hAnsi="宋体"/>
                <w:sz w:val="16"/>
              </w:rPr>
              <w:t>0.0</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为0次，在所有9种算法中保持最优——具体而言，TOPSIS-Q为3.9次、GRA为19.6次、VIKOR为13.6次、COPRAS为25.6次、SPOTIS为23.1次、最强信号法为1.7次，LAAVHA-L为0.5次、LAAVHA-A为2.0次，最终网络均稳定接入5G，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