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面向无人机遥感异构网络的注意力LSTM增强型风险感知垂直切换算法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无人机遥感监测系统广泛应用于灾害评估、农业普查和环境监测等大范围对地观测场景，无人机在巡航过程中需穿越5G、LTE和WiFi等多种无线网络的覆盖边界，垂直切换面临决策滞后、乒乓切换频繁及固定权重难以适应动态场景的挑战。提出一种基于长短期记忆网络（LSTM）与注意力机制的自适应垂直切换方法（LAAVHA），并在其基础上引入自适应滞后与风险敏感TOPSIS两项增强机制（LAAVHA-enhanced）。该方法利用堆叠LSTM预测候选网络短期状态变化，通过注意力机制根据飞行阶段和移动状态动态生成属性权重，融合当前与预测状态构建改进TOPSIS决策矩阵，结合双重滞后机制抑制不必要切换；增强机制进一步引入上下文感知的自适应滞后参数（阈值随SINR波动自动调节、确认窗口随飞行速度自适应变化）和基于置信下界的历史评分波动风险惩罚，提升算法在信道剧烈波动场景下的决策鲁棒性。基于ns-3网络仿真平台及其AI扩展模块ns3-ai搭建决策级实验平台——ns-3负责异构网络物理仿真与指标采集，ns3-ai通过共享内存实现C++仿真与Python AI推理的双向实时交互。50组随机种子实验表明，LAAVHA在代理异构网络场景下切换次数集中分布在0~2次区间。与TOPSIS-Q、Fuzzy-VHO、SAW等8种对比算法及LAAVHA-L、LAAVHA-A消融变体的横向对比表明，LAAVHA在切换次数和服务连续性方面均优于对比方法，验证了时序预测、动态权重、双重滞后及增强机制对决策质量的协同贡献。</w:t>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p>
    <w:p>
      <w:pPr>
        <w:pStyle w:val="Normal"/>
        <w:rPr/>
      </w:pPr>
      <w:r>
        <w:rPr>
          <w:rFonts w:ascii="Times New Roman" w:hAnsi="Times New Roman" w:eastAsia="黑体"/>
          <w:b/>
          <w:sz w:val="21"/>
        </w:rPr>
        <w:t>关键词：无人机遥感；异构网络；垂直切换；LSTM；注意力机制；自适应滞后；风险敏感TOPSIS</w:t>
      </w:r>
      <w:r>
        <w:rPr>
          <w:rFonts w:ascii="Times New Roman" w:hAnsi="Times New Roman" w:eastAsia="宋体"/>
          <w:b w:val="false"/>
          <w:sz w:val="21"/>
        </w:rPr>
      </w:r>
      <w:r>
        <w:rPr>
          <w:rFonts w:ascii="Times New Roman" w:hAnsi="Times New Roman" w:eastAsia="宋体"/>
          <w:b w:val="false"/>
          <w:sz w:val="21"/>
          <w:lang w:val="en-US" w:eastAsia="zh-CN"/>
        </w:rPr>
      </w:r>
      <w:r>
        <w:rPr>
          <w:rFonts w:ascii="Times New Roman" w:hAnsi="Times New Roman" w:eastAsia="宋体"/>
          <w:b w:val="false"/>
          <w:sz w:val="21"/>
        </w:rPr>
      </w:r>
      <w:r>
        <w:rPr>
          <w:rFonts w:ascii="Times New Roman" w:hAnsi="Times New Roman" w:eastAsia="宋体"/>
          <w:b w:val="false"/>
          <w:sz w:val="21"/>
          <w:lang w:val="en-US" w:eastAsia="zh-CN"/>
        </w:rPr>
      </w:r>
      <w:r>
        <w:rPr>
          <w:rFonts w:ascii="Times New Roman" w:hAnsi="Times New Roman" w:eastAsia="宋体"/>
          <w:b w:val="false"/>
          <w:sz w:val="21"/>
        </w:rPr>
      </w:r>
      <w:r>
        <w:rPr>
          <w:rFonts w:ascii="Times New Roman" w:hAnsi="Times New Roman" w:eastAsia="宋体"/>
          <w:b w:val="false"/>
          <w:sz w:val="21"/>
          <w:lang w:val="en-US" w:eastAsia="zh-CN"/>
        </w:rPr>
      </w:r>
      <w:r>
        <w:rPr>
          <w:rFonts w:ascii="Times New Roman" w:hAnsi="Times New Roman" w:eastAsia="宋体"/>
          <w:b w:val="false"/>
          <w:sz w:val="21"/>
        </w:rPr>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Attention-LSTM Enhanced Risk-aware Vertical Handoff Algorithm for UAV Remote Sensing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Unmanned aerial vehicle (UAV) remote sensing systems are widely deployed in large-scale earth observation missions including disaster assessment, agricultural survey, and environmental monitoring. During cruise missions, UAVs must traverse coverage boundaries of heterogeneous wireless networks (5G, LTE, WiFi), where vertical handover faces challenges of decision latency, frequent ping-pong handovers, and poor adaptability of fixed attribute weights. An adaptive vertical handover method based on long short-term memory (LSTM) and attention mechanism (LAAVHA) is proposed, with two enhanced mechanisms—adaptive hysteresis and risk-sensitive TOPSIS (LAAVHA-enhanced). A stacked LSTM predicts short-term candidate-network state changes; an attention mechanism (embed_dim=5, num_heads=1) generates dynamic attribute weights according to flight phase and mobility conditions; an improved TOPSIS decision matrix fuses current and predicted states; and a dual hysteresis mechanism suppresses unnecessary handovers. The enhanced mechanisms further introduce context-aware adaptive hysteresis parameters (threshold auto-adjusted by SINR volatility, confirmation window adapted to flight speed) and a lower-confidence-bound penalty on historical score volatility, improving decision robustness under剧烈 channel fluctuations. A decision-level experimental platform is built with ns-3 and its AI extension ns3-ai: ns-3 handles heterogeneous network simulation and metric collection, while ns3-ai enables bidirectional real-time C++/Python interaction via shared memory. Fifty randomized-seed experiments show that LAAVHA achieves zero handovers in the proxy heterogeneous network scenario. Comparison with eight baseline algorithms (TOPSIS-Q, Fuzzy-VHO, SAW, etc.) and two ablation variants (LAAVHA-L, LAAVHA-A) confirms that LAAVHA outperforms all counterparts in handover count and service continuity, verifying the synergistic contribution of temporal prediction, dynamic weighting, dual hysteresis, and the enhanced decision mechanisms.</w:t>
      </w:r>
      <w:r>
        <w:rPr>
          <w:rFonts w:ascii="Times New Roman" w:hAnsi="Times New Roman" w:eastAsia="Times New Roman"/>
          <w:b/>
          <w:sz w:val="21"/>
        </w:rPr>
      </w:r>
      <w:r>
        <w:rPr>
          <w:rFonts w:eastAsia="Times New Roman" w:ascii="Times New Roman" w:hAnsi="Times New Roman"/>
          <w:b/>
          <w:sz w:val="21"/>
        </w:rPr>
      </w:r>
    </w:p>
    <w:p>
      <w:pPr>
        <w:pStyle w:val="Normal"/>
        <w:rPr/>
      </w:pPr>
      <w:r>
        <w:rPr>
          <w:rFonts w:eastAsia="Times New Roman" w:ascii="Times New Roman" w:hAnsi="Times New Roman"/>
          <w:b/>
          <w:sz w:val="21"/>
        </w:rPr>
        <w:t>Key words: UAV remote sensing, heterogeneous network, vertical handover, LSTM, attention mechanism, adaptive hysteresis, risk-sensitive TOPSIS</w:t>
      </w:r>
    </w:p>
    <w:p>
      <w:pPr>
        <w:pStyle w:val="Normal"/>
        <w:rPr>
          <w:rFonts w:ascii="Times New Roman" w:hAnsi="Times New Roman" w:eastAsia="Times New Roman"/>
          <w:b w:val="false"/>
          <w:sz w:val="21"/>
        </w:rPr>
      </w:pPr>
      <w:r>
        <w:rPr>
          <w:rFonts w:eastAsia="Times New Roman" w:ascii="Times New Roman" w:hAnsi="Times New Roman"/>
          <w:b w:val="false"/>
          <w:sz w:val="21"/>
        </w:rPr>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遥感系统在灾害评估、农业普查、环境监测等领域广泛应用，无人机搭载的高分辨率光学/多光谱载荷在巡航过程中产生大量遥感图像数据，需通过5G、LTE和WiFi等异构无线网络实时回传至地面站[1-3]。然而，无人机的高机动性导致其频繁穿越不同网络的覆盖边界，触发垂直切换[4]。传统垂直切换研究主要围绕多属性决策方法展开，如TOPSIS[7-8]、VIKOR[22]、GRA[22]、COPRAS[22]、SPOTIS[22]、Fuzzy-VHO[4]和SAW等，通过构建信噪比、时延、吞吐量等网络属性的评价矩阵进行候选排序。这些方法存在两个共性问题：一是权重通常由熵权法或层次分析法一次性确定[10-11]，无法随飞行阶段和信道环境动态调整；二是仅依据当前时刻的网络指标做决策，缺乏对未来状态变化的前瞻性判断，当无人机高速飞向WiFi覆盖边缘时，可能在链路实际中断后才触发切换[12-13]。此外，近年深度强化学习（DRL）方法被引入切换决策[12-14]，但其黑箱性质和训练不稳定性在安全攸关的遥感巡航场景中带来可解释性和可靠性方面的顾虑。</w:t>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p>
    <w:p>
      <w:pPr>
        <w:pStyle w:val="Normal"/>
        <w:ind w:firstLine="420"/>
        <w:jc w:val="both"/>
        <w:rPr/>
      </w:pPr>
      <w:r>
        <w:rPr>
          <w:rFonts w:ascii="Times New Roman" w:hAnsi="Times New Roman" w:eastAsia="宋体"/>
          <w:b w:val="false"/>
          <w:sz w:val="21"/>
        </w:rPr>
        <w:t>长短期记忆网络（LSTM）通过门控结构有效缓解梯度消失问题[15]，具有捕获长时间序列依赖关系的能力，已被应用于5G异构网络的切换判决和网络状态预测[16-17]。然而，单一LSTM网络存在两方面局限：其一，LSTM将候选网络的5维状态指标视为独立的时间序列分别建模，无法显式捕获指标之间的耦合关系——例如吞吐量与丢包率的负相关性、SINR与时延的关联性等；其二，LSTM输出的预测状态仍需配合固定或人工设定的属性权重才能完成多属性决策，无法根据飞行阶段和移动状态自适应调整各指标的重要性。</w:t>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p>
    <w:p>
      <w:pPr>
        <w:pStyle w:val="Normal"/>
        <w:ind w:firstLine="420"/>
        <w:jc w:val="both"/>
        <w:rPr/>
      </w:pPr>
      <w:r>
        <w:rPr>
          <w:rFonts w:ascii="Times New Roman" w:hAnsi="Times New Roman" w:eastAsia="宋体"/>
          <w:b w:val="false"/>
          <w:sz w:val="21"/>
        </w:rPr>
        <w:t>综上所述，当前无人机遥感异构网络中的垂直切换面临两个层面的挑战：在算法层面，传统MADM方法权重固定、缺乏时序预测能力，单一LSTM即使引入预测机制仍无法自适应调节属性权重以适应飞行阶段变化；在场景层面，无人机巡航过程中信道环境动态变化——平稳飞行时信号波动小，跨越覆盖边界或遭遇遮挡时信号剧烈振荡，固定的切换阈值和确认窗口难以在两者之间取得平衡。针对第一个层面，引入注意力机制对候选网络状态矩阵进行自注意力建模，使模型自主学习属性间交互关系并输出随飞行阶段变化的动态权重；针对第二个层面，在决策层引入自适应滞后（ADH）与风险敏感TOPSIS（RS-TOPSIS）增强机制，使切换参数根据信道波动和飞行状态自适应调节。</w:t>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ascii="Times New Roman" w:hAnsi="Times New Roman" w:eastAsia="宋体"/>
          <w:b w:val="false"/>
          <w:bCs w:val="false"/>
          <w:sz w:val="21"/>
        </w:rPr>
      </w:r>
      <w:r>
        <w:rPr>
          <w:rFonts w:eastAsia="宋体" w:ascii="Times New Roman" w:hAnsi="Times New Roman"/>
          <w:b w:val="false"/>
          <w:bCs w:val="false"/>
          <w:sz w:val="21"/>
        </w:rPr>
      </w:r>
      <w:r>
        <w:rPr>
          <w:rFonts w:ascii="Times New Roman" w:hAnsi="Times New Roman" w:eastAsia="宋体"/>
          <w:b w:val="false"/>
          <w:bCs w:val="false"/>
          <w:sz w:val="21"/>
        </w:rPr>
      </w:r>
    </w:p>
    <w:p>
      <w:pPr>
        <w:pStyle w:val="Normal"/>
        <w:ind w:firstLine="420"/>
        <w:jc w:val="both"/>
        <w:rPr/>
      </w:pPr>
      <w:r>
        <w:rPr>
          <w:rStyle w:val="SourceText"/>
          <w:b w:val="false"/>
          <w:bCs w:val="false"/>
          <w:sz w:val="21"/>
          <w:szCs w:val="21"/>
        </w:rPr>
        <w:t>针对上述两个层面的挑战，本文首先构建基于长短期记忆神经网络和注意力机制的自适应垂直切换算法（LAAVHA, Long Short-Term Memory-Attention based Adaptive Vertical Handover Algorithm），在此基础上引入自适应滞后（ADH）与风险敏感TOPSIS（RS-TOPSIS）两项增强机制，形成注意力LSTM增强型风险感知垂直切换算法（ALERA, Attention-LSTM Enhanced Risk-aware Vertical Handoff Algorithm）。LAAVHA采用"预测-权重-决策"三阶段架构：堆叠LSTM预测候选网络短期状态变化，注意力机制以当前状态矩阵为自注意力输入融合移动特征生成动态权重，融合当前与预测状态构建改进TOPSIS决策矩阵完成候选排序。在此基础上，自适应滞后（ADH）机制将固定切换阈值Δ_th和确认窗口T替换为上下文感知的可变参数——以服务网络近5个周期的SINR标准差度量信道波动，阈值随波动从0.03线性增长至0.08，确认窗口随飞行速度在[2,4]范围内自适应缩短；风险敏感TOPSIS（RS-TOPSIS）机制引入置信下界罚分，以C_i^robust = C_i − 0.5·σ_i^C作为排序依据，对评分波动较大的候选网络施加惩罚，使排序偏好倾向历史表现更稳定的网络。两项增强机制均作用于决策层，不改变模型结构。</w:t>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。因此，算法将过去若干个决策周期的网络状态组织为时序输入，用于预测短期未来状态，并将预测结果与当前状态共同用于最终决策。实验平台采用</w:t>
      </w:r>
      <w:r>
        <w:rPr>
          <w:rFonts w:eastAsia="宋体" w:ascii="Times New Roman" w:hAnsi="Times New Roman"/>
          <w:b w:val="false"/>
          <w:sz w:val="21"/>
        </w:rPr>
        <w:t>ns-3</w:t>
      </w:r>
      <w:r>
        <w:rPr>
          <w:rFonts w:ascii="Times New Roman" w:hAnsi="Times New Roman" w:eastAsia="宋体"/>
          <w:b w:val="false"/>
          <w:sz w:val="21"/>
        </w:rPr>
        <w:t>网络仿真器</w:t>
      </w:r>
      <w:r>
        <w:rPr>
          <w:rFonts w:eastAsia="宋体" w:ascii="Times New Roman" w:hAnsi="Times New Roman"/>
          <w:b w:val="false"/>
          <w:sz w:val="21"/>
          <w:vertAlign w:val="superscript"/>
        </w:rPr>
        <w:t>[19]</w:t>
      </w:r>
      <w:r>
        <w:rPr>
          <w:rFonts w:ascii="Times New Roman" w:hAnsi="Times New Roman" w:eastAsia="宋体"/>
          <w:b w:val="false"/>
          <w:sz w:val="21"/>
        </w:rPr>
        <w:t>与其</w:t>
      </w:r>
      <w:r>
        <w:rPr>
          <w:rFonts w:eastAsia="宋体" w:ascii="Times New Roman" w:hAnsi="Times New Roman"/>
          <w:b w:val="false"/>
          <w:sz w:val="21"/>
        </w:rPr>
        <w:t>AI</w:t>
      </w:r>
      <w:r>
        <w:rPr>
          <w:rFonts w:ascii="Times New Roman" w:hAnsi="Times New Roman" w:eastAsia="宋体"/>
          <w:b w:val="false"/>
          <w:sz w:val="21"/>
        </w:rPr>
        <w:t>扩展模块</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协同构建：</w:t>
      </w:r>
      <w:r>
        <w:rPr>
          <w:rFonts w:eastAsia="宋体" w:ascii="Times New Roman" w:hAnsi="Times New Roman"/>
          <w:b w:val="false"/>
          <w:sz w:val="21"/>
        </w:rPr>
        <w:t>ns-3</w:t>
      </w:r>
      <w:r>
        <w:rPr>
          <w:rFonts w:ascii="Times New Roman" w:hAnsi="Times New Roman" w:eastAsia="宋体"/>
          <w:b w:val="false"/>
          <w:sz w:val="21"/>
        </w:rPr>
        <w:t>负责部署</w:t>
      </w:r>
      <w:r>
        <w:rPr>
          <w:rFonts w:eastAsia="宋体" w:ascii="Times New Roman" w:hAnsi="Times New Roman"/>
          <w:b w:val="false"/>
          <w:sz w:val="21"/>
        </w:rPr>
        <w:t>5G/LTE/WiFi</w:t>
      </w:r>
      <w:r>
        <w:rPr>
          <w:rFonts w:ascii="Times New Roman" w:hAnsi="Times New Roman" w:eastAsia="宋体"/>
          <w:b w:val="false"/>
          <w:sz w:val="21"/>
        </w:rPr>
        <w:t>异构网络拓扑、模拟无人机移动模型和采集物理层</w:t>
      </w:r>
      <w:r>
        <w:rPr>
          <w:rFonts w:eastAsia="宋体" w:ascii="Times New Roman" w:hAnsi="Times New Roman"/>
          <w:b w:val="false"/>
          <w:sz w:val="21"/>
        </w:rPr>
        <w:t>/</w:t>
      </w:r>
      <w:r>
        <w:rPr>
          <w:rFonts w:ascii="Times New Roman" w:hAnsi="Times New Roman" w:eastAsia="宋体"/>
          <w:b w:val="false"/>
          <w:sz w:val="21"/>
        </w:rPr>
        <w:t>传输层指标；</w:t>
      </w:r>
      <w:r>
        <w:rPr>
          <w:rFonts w:eastAsia="宋体" w:ascii="Times New Roman" w:hAnsi="Times New Roman"/>
          <w:b w:val="false"/>
          <w:sz w:val="21"/>
        </w:rPr>
        <w:t>ns3-ai</w:t>
      </w:r>
      <w:r>
        <w:rPr>
          <w:rFonts w:ascii="Times New Roman" w:hAnsi="Times New Roman" w:eastAsia="宋体"/>
          <w:b w:val="false"/>
          <w:sz w:val="21"/>
        </w:rPr>
        <w:t>通过共享内存机制在</w:t>
      </w:r>
      <w:r>
        <w:rPr>
          <w:rFonts w:eastAsia="宋体" w:ascii="Times New Roman" w:hAnsi="Times New Roman"/>
          <w:b w:val="false"/>
          <w:sz w:val="21"/>
        </w:rPr>
        <w:t>C++</w:t>
      </w:r>
      <w:r>
        <w:rPr>
          <w:rFonts w:ascii="Times New Roman" w:hAnsi="Times New Roman" w:eastAsia="宋体"/>
          <w:b w:val="false"/>
          <w:sz w:val="21"/>
        </w:rPr>
        <w:t>仿真侧与</w:t>
      </w:r>
      <w:r>
        <w:rPr>
          <w:rFonts w:eastAsia="宋体" w:ascii="Times New Roman" w:hAnsi="Times New Roman"/>
          <w:b w:val="false"/>
          <w:sz w:val="21"/>
        </w:rPr>
        <w:t>Python AI</w:t>
      </w:r>
      <w:r>
        <w:rPr>
          <w:rFonts w:ascii="Times New Roman" w:hAnsi="Times New Roman" w:eastAsia="宋体"/>
          <w:b w:val="false"/>
          <w:sz w:val="21"/>
        </w:rPr>
        <w:t>推理侧之间建立双向通信通道——</w:t>
      </w:r>
      <w:r>
        <w:rPr>
          <w:rFonts w:eastAsia="宋体" w:ascii="Times New Roman" w:hAnsi="Times New Roman"/>
          <w:b w:val="false"/>
          <w:sz w:val="21"/>
        </w:rPr>
        <w:t>C++</w:t>
      </w:r>
      <w:r>
        <w:rPr>
          <w:rFonts w:ascii="Times New Roman" w:hAnsi="Times New Roman" w:eastAsia="宋体"/>
          <w:b w:val="false"/>
          <w:sz w:val="21"/>
        </w:rPr>
        <w:t>侧每个决策周期将</w:t>
      </w:r>
      <w:r>
        <w:rPr>
          <w:rFonts w:eastAsia="宋体" w:ascii="Times New Roman" w:hAnsi="Times New Roman"/>
          <w:b w:val="false"/>
          <w:sz w:val="21"/>
        </w:rPr>
        <w:t>3</w:t>
      </w:r>
      <w:r>
        <w:rPr>
          <w:rFonts w:ascii="Times New Roman" w:hAnsi="Times New Roman" w:eastAsia="宋体"/>
          <w:b w:val="false"/>
          <w:sz w:val="21"/>
        </w:rPr>
        <w:t>个候选网络各</w:t>
      </w:r>
      <w:r>
        <w:rPr>
          <w:rFonts w:eastAsia="宋体" w:ascii="Times New Roman" w:hAnsi="Times New Roman"/>
          <w:b w:val="false"/>
          <w:sz w:val="21"/>
        </w:rPr>
        <w:t>10</w:t>
      </w:r>
      <w:r>
        <w:rPr>
          <w:rFonts w:ascii="Times New Roman" w:hAnsi="Times New Roman" w:eastAsia="宋体"/>
          <w:b w:val="false"/>
          <w:sz w:val="21"/>
        </w:rPr>
        <w:t>步历史</w:t>
      </w:r>
      <w:r>
        <w:rPr>
          <w:rFonts w:eastAsia="宋体" w:ascii="Times New Roman" w:hAnsi="Times New Roman"/>
          <w:b w:val="false"/>
          <w:sz w:val="21"/>
        </w:rPr>
        <w:t>×5</w:t>
      </w:r>
      <w:r>
        <w:rPr>
          <w:rFonts w:ascii="Times New Roman" w:hAnsi="Times New Roman" w:eastAsia="宋体"/>
          <w:b w:val="false"/>
          <w:sz w:val="21"/>
        </w:rPr>
        <w:t>维指标（共</w:t>
      </w:r>
      <w:r>
        <w:rPr>
          <w:rFonts w:eastAsia="宋体" w:ascii="Times New Roman" w:hAnsi="Times New Roman"/>
          <w:b w:val="false"/>
          <w:sz w:val="21"/>
        </w:rPr>
        <w:t>150</w:t>
      </w:r>
      <w:r>
        <w:rPr>
          <w:rFonts w:ascii="Times New Roman" w:hAnsi="Times New Roman" w:eastAsia="宋体"/>
          <w:b w:val="false"/>
          <w:sz w:val="21"/>
        </w:rPr>
        <w:t>维）及移动状态写入共享内存，</w:t>
      </w:r>
      <w:r>
        <w:rPr>
          <w:rFonts w:eastAsia="宋体" w:ascii="Times New Roman" w:hAnsi="Times New Roman"/>
          <w:b w:val="false"/>
          <w:sz w:val="21"/>
        </w:rPr>
        <w:t>Python</w:t>
      </w:r>
      <w:r>
        <w:rPr>
          <w:rFonts w:ascii="Times New Roman" w:hAnsi="Times New Roman" w:eastAsia="宋体"/>
          <w:b w:val="false"/>
          <w:sz w:val="21"/>
        </w:rPr>
        <w:t>侧加载预训练的</w:t>
      </w:r>
      <w:r>
        <w:rPr>
          <w:rFonts w:eastAsia="宋体" w:ascii="Times New Roman" w:hAnsi="Times New Roman"/>
          <w:b w:val="false"/>
          <w:sz w:val="21"/>
        </w:rPr>
        <w:t>LAAVHA</w:t>
      </w:r>
      <w:r>
        <w:rPr>
          <w:rFonts w:ascii="Times New Roman" w:hAnsi="Times New Roman" w:eastAsia="宋体"/>
          <w:b w:val="false"/>
          <w:sz w:val="21"/>
        </w:rPr>
        <w:t>模型读取状态数据并返回目标网络编号和候选网络评分，使深度学习推理与网络仿真同步执行，避免离线批处理时延。</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2 ALERA</w:t>
      </w:r>
      <w:r>
        <w:rPr>
          <w:rFonts w:ascii="Times New Roman" w:hAnsi="Times New Roman" w:eastAsia="黑体"/>
          <w:b/>
          <w:sz w:val="26"/>
        </w:rPr>
        <w:t>自适应垂直切换算法</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设时间窗口长度为</w:t>
      </w:r>
      <w:r>
        <w:rPr>
          <w:rFonts w:eastAsia="宋体" w:ascii="Times New Roman" w:hAnsi="Times New Roman"/>
          <w:b w:val="false"/>
          <w:sz w:val="21"/>
        </w:rPr>
        <w:t>T</w:t>
      </w:r>
      <w:r>
        <w:rPr>
          <w:rFonts w:ascii="Times New Roman" w:hAnsi="Times New Roman" w:eastAsia="宋体"/>
          <w:b w:val="false"/>
          <w:sz w:val="21"/>
        </w:rPr>
        <w:t>，第</w:t>
      </w:r>
      <w:r>
        <w:rPr>
          <w:rFonts w:eastAsia="宋体" w:ascii="Times New Roman" w:hAnsi="Times New Roman"/>
          <w:b w:val="false"/>
          <w:sz w:val="21"/>
        </w:rPr>
        <w:t>i</w:t>
      </w:r>
      <w:r>
        <w:rPr>
          <w:rFonts w:ascii="Times New Roman" w:hAnsi="Times New Roman" w:eastAsia="宋体"/>
          <w:b w:val="false"/>
          <w:sz w:val="21"/>
        </w:rPr>
        <w:t>个候选网络的历史输入序列为</w:t>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(2)-(4)</w:t>
      </w:r>
      <w:r>
        <w:rPr>
          <w:rFonts w:ascii="Times New Roman" w:hAnsi="Times New Roman" w:eastAsia="宋体"/>
          <w:b w:val="false"/>
          <w:sz w:val="21"/>
        </w:rPr>
        <w:t>完整刻画了预测分支的维度变换：</w:t>
      </w:r>
      <w:r>
        <w:rPr>
          <w:rFonts w:eastAsia="宋体" w:ascii="Times New Roman" w:hAnsi="Times New Roman"/>
          <w:b w:val="false"/>
          <w:sz w:val="21"/>
        </w:rPr>
        <w:t>10</w:t>
      </w:r>
      <w:r>
        <w:rPr>
          <w:rFonts w:ascii="Times New Roman" w:hAnsi="Times New Roman" w:eastAsia="宋体"/>
          <w:b w:val="false"/>
          <w:sz w:val="21"/>
        </w:rPr>
        <w:t>步</w:t>
      </w:r>
      <w:r>
        <w:rPr>
          <w:rFonts w:eastAsia="宋体" w:ascii="Times New Roman" w:hAnsi="Times New Roman"/>
          <w:b w:val="false"/>
          <w:sz w:val="21"/>
        </w:rPr>
        <w:t>x5</w:t>
      </w:r>
      <w:r>
        <w:rPr>
          <w:rFonts w:ascii="Times New Roman" w:hAnsi="Times New Roman" w:eastAsia="宋体"/>
          <w:b w:val="false"/>
          <w:sz w:val="21"/>
        </w:rPr>
        <w:t xml:space="preserve">维指标 → </w:t>
      </w:r>
      <w:r>
        <w:rPr>
          <w:rFonts w:eastAsia="宋体" w:ascii="Times New Roman" w:hAnsi="Times New Roman"/>
          <w:b w:val="false"/>
          <w:sz w:val="21"/>
        </w:rPr>
        <w:t>LSTM1(5→128) → LSTM2(128→64) → fc_pred(64→5)</w:t>
      </w:r>
      <w:r>
        <w:rPr>
          <w:rFonts w:ascii="Times New Roman" w:hAnsi="Times New Roman" w:eastAsia="宋体"/>
          <w:b w:val="false"/>
          <w:sz w:val="21"/>
        </w:rPr>
        <w:t>。三个候选网络共享同一组</w:t>
      </w:r>
      <w:r>
        <w:rPr>
          <w:rFonts w:eastAsia="宋体" w:ascii="Times New Roman" w:hAnsi="Times New Roman"/>
          <w:b w:val="false"/>
          <w:sz w:val="21"/>
        </w:rPr>
        <w:t>LSTM</w:t>
      </w:r>
      <w:r>
        <w:rPr>
          <w:rFonts w:ascii="Times New Roman" w:hAnsi="Times New Roman" w:eastAsia="宋体"/>
          <w:b w:val="false"/>
          <w:sz w:val="21"/>
        </w:rPr>
        <w:t>参数，各自独立输入历史序列，预测结果堆叠为</w:t>
      </w:r>
      <w:r>
        <w:rPr>
          <w:rFonts w:eastAsia="宋体" w:ascii="Times New Roman" w:hAnsi="Times New Roman"/>
          <w:b w:val="false"/>
          <w:sz w:val="21"/>
        </w:rPr>
        <w:t>S_pred in R^{3x5}——</w:t>
      </w:r>
      <w:r>
        <w:rPr>
          <w:rFonts w:ascii="Times New Roman" w:hAnsi="Times New Roman" w:eastAsia="宋体"/>
          <w:b w:val="false"/>
          <w:sz w:val="21"/>
        </w:rPr>
        <w:t>即</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各自下一时刻的五项指标预测值。</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w:t>
      </w:r>
      <w:r>
        <w:rPr>
          <w:rFonts w:eastAsia="宋体" w:ascii="Times New Roman" w:hAnsi="Times New Roman"/>
          <w:b w:val="false"/>
          <w:sz w:val="21"/>
        </w:rPr>
        <w:t>LAAVHA</w:t>
      </w:r>
      <w:r>
        <w:rPr>
          <w:rFonts w:ascii="Times New Roman" w:hAnsi="Times New Roman" w:eastAsia="宋体"/>
          <w:b w:val="false"/>
          <w:sz w:val="21"/>
        </w:rPr>
        <w:t>引入自注意力机制</w:t>
      </w:r>
      <w:r>
        <w:rPr>
          <w:rFonts w:eastAsia="宋体" w:ascii="Times New Roman" w:hAnsi="Times New Roman"/>
          <w:b w:val="false"/>
          <w:sz w:val="21"/>
          <w:vertAlign w:val="superscript"/>
        </w:rPr>
        <w:t>[18]</w:t>
      </w:r>
      <w:r>
        <w:rPr>
          <w:rFonts w:ascii="Times New Roman" w:hAnsi="Times New Roman" w:eastAsia="宋体"/>
          <w:b w:val="false"/>
          <w:sz w:val="21"/>
        </w:rPr>
        <w:t>，输入当前候选网络状态矩阵和移动状态向量，通过自注意力机制（</w:t>
      </w:r>
      <w:r>
        <w:rPr>
          <w:rFonts w:eastAsia="宋体" w:ascii="Times New Roman" w:hAnsi="Times New Roman"/>
          <w:b w:val="false"/>
          <w:sz w:val="21"/>
        </w:rPr>
        <w:t>embed_dim=5, num_heads=1</w:t>
      </w:r>
      <w:r>
        <w:rPr>
          <w:rFonts w:ascii="Times New Roman" w:hAnsi="Times New Roman" w:eastAsia="宋体"/>
          <w:b w:val="false"/>
          <w:sz w:val="21"/>
        </w:rPr>
        <w:t>）学习属性之间的相关性，受</w:t>
      </w:r>
      <w:r>
        <w:rPr>
          <w:rFonts w:eastAsia="宋体" w:ascii="Times New Roman" w:hAnsi="Times New Roman"/>
          <w:b w:val="false"/>
          <w:sz w:val="21"/>
        </w:rPr>
        <w:t>PyTorch MultiheadAttention</w:t>
      </w:r>
      <w:r>
        <w:rPr>
          <w:rFonts w:ascii="Times New Roman" w:hAnsi="Times New Roman" w:eastAsia="宋体"/>
          <w:b w:val="false"/>
          <w:sz w:val="21"/>
        </w:rPr>
        <w:t>中</w:t>
      </w:r>
      <w:r>
        <w:rPr>
          <w:rFonts w:eastAsia="宋体" w:ascii="Times New Roman" w:hAnsi="Times New Roman"/>
          <w:b w:val="false"/>
          <w:sz w:val="21"/>
        </w:rPr>
        <w:t>embed_dim</w:t>
      </w:r>
      <w:r>
        <w:rPr>
          <w:rFonts w:ascii="Times New Roman" w:hAnsi="Times New Roman" w:eastAsia="宋体"/>
          <w:b w:val="false"/>
          <w:sz w:val="21"/>
        </w:rPr>
        <w:t>需被</w:t>
      </w:r>
      <w:r>
        <w:rPr>
          <w:rFonts w:eastAsia="宋体" w:ascii="Times New Roman" w:hAnsi="Times New Roman"/>
          <w:b w:val="false"/>
          <w:sz w:val="21"/>
        </w:rPr>
        <w:t>num_heads</w:t>
      </w:r>
      <w:r>
        <w:rPr>
          <w:rFonts w:ascii="Times New Roman" w:hAnsi="Times New Roman" w:eastAsia="宋体"/>
          <w:b w:val="false"/>
          <w:sz w:val="21"/>
        </w:rPr>
        <w:t>整除的数学约束，</w:t>
      </w:r>
      <w:r>
        <w:rPr>
          <w:rFonts w:eastAsia="宋体" w:ascii="Times New Roman" w:hAnsi="Times New Roman"/>
          <w:b w:val="false"/>
          <w:sz w:val="21"/>
        </w:rPr>
        <w:t>5</w:t>
      </w:r>
      <w:r>
        <w:rPr>
          <w:rFonts w:ascii="Times New Roman" w:hAnsi="Times New Roman" w:eastAsia="宋体"/>
          <w:b w:val="false"/>
          <w:sz w:val="21"/>
        </w:rPr>
        <w:t>个网络属性下采用单头配置，再经池化和全连接层生成动态权重向量</w:t>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p>
      <w:pPr>
        <w:pStyle w:val="Normal"/>
        <w:rPr/>
      </w:pPr>
      <w:r>
        <w:rPr/>
        <w:t>需要指出的是，上述</w:t>
      </w:r>
      <w:r>
        <w:rPr/>
        <w:t>TOPSIS</w:t>
      </w:r>
      <w:r>
        <w:rPr/>
        <w:t>决策流程和双重滞后机制在训练阶段用于生成监督标签：对每条历史网络状态记录，执行完整的融合决策矩阵构建、加权</w:t>
      </w:r>
      <w:r>
        <w:rPr/>
        <w:t>TOPSIS</w:t>
      </w:r>
      <w:r>
        <w:rPr/>
        <w:t>排序和滞后条件检查，将最终选定的最优网络编号作为该记录的训练目标。部署阶段，训练好的</w:t>
      </w:r>
      <w:r>
        <w:rPr/>
        <w:t>LAAVHA_Net</w:t>
      </w:r>
      <w:r>
        <w:rPr/>
        <w:t>仅输出</w:t>
      </w:r>
      <w:r>
        <w:rPr/>
        <w:t>S_pred in R^{3x5}</w:t>
      </w:r>
      <w:r>
        <w:rPr/>
        <w:t>和</w:t>
      </w:r>
      <w:r>
        <w:rPr/>
        <w:t>w in R^5——</w:t>
      </w:r>
      <w:r>
        <w:rPr/>
        <w:t>神经网络不直接输出切换决策，而是作为</w:t>
      </w:r>
      <w:r>
        <w:rPr/>
        <w:t>"</w:t>
      </w:r>
      <w:r>
        <w:rPr/>
        <w:t>状态感知器</w:t>
      </w:r>
      <w:r>
        <w:rPr/>
        <w:t>"</w:t>
      </w:r>
      <w:r>
        <w:rPr/>
        <w:t>提供时序预测与动态权重；推理侧随后依次执行式</w:t>
      </w:r>
      <w:r>
        <w:rPr/>
        <w:t>(10b)</w:t>
      </w:r>
      <w:r>
        <w:rPr/>
        <w:t>的融合矩阵构建、式</w:t>
      </w:r>
      <w:r>
        <w:rPr/>
        <w:t>(11)-(15)</w:t>
      </w:r>
      <w:r>
        <w:rPr/>
        <w:t>的</w:t>
      </w:r>
      <w:r>
        <w:rPr/>
        <w:t>TOPSIS</w:t>
      </w:r>
      <w:r>
        <w:rPr/>
        <w:t>排序和式</w:t>
      </w:r>
      <w:r>
        <w:rPr/>
        <w:t>(16)-(17)</w:t>
      </w:r>
      <w:r>
        <w:rPr/>
        <w:t>的滞后裁定，最终输出目标网络编号。这一</w:t>
      </w:r>
      <w:r>
        <w:rPr/>
        <w:t>"</w:t>
      </w:r>
      <w:r>
        <w:rPr/>
        <w:t xml:space="preserve">神经网络预测 </w:t>
      </w:r>
      <w:r>
        <w:rPr/>
        <w:t xml:space="preserve">+ </w:t>
      </w:r>
      <w:r>
        <w:rPr/>
        <w:t>规则化决策</w:t>
      </w:r>
      <w:r>
        <w:rPr/>
        <w:t>"</w:t>
      </w:r>
      <w:r>
        <w:rPr/>
        <w:t>的混合架构，使算法的每一步变换均可由式</w:t>
      </w:r>
      <w:r>
        <w:rPr/>
        <w:t>(1)-(17)</w:t>
      </w:r>
      <w:r>
        <w:rPr/>
        <w:t>完整追踪，兼顾了深度学习的时序建模能力和传统多属性决策的透明性与可解释性。</w:t>
      </w:r>
    </w:p>
    <w:p>
      <w:pPr>
        <w:pStyle w:val="Normal"/>
        <w:rPr>
          <w:rFonts w:ascii="黑体" w:hAnsi="黑体" w:eastAsia="黑体"/>
          <w:b/>
          <w:bCs/>
        </w:rPr>
      </w:pPr>
      <w:r>
        <w:rPr>
          <w:rFonts w:eastAsia="黑体" w:ascii="黑体" w:hAnsi="黑体"/>
          <w:b/>
          <w:bCs/>
        </w:rPr>
        <w:t xml:space="preserve">2.4 </w:t>
      </w:r>
      <w:r>
        <w:rPr>
          <w:rFonts w:ascii="黑体" w:hAnsi="黑体" w:eastAsia="黑体"/>
          <w:b/>
          <w:bCs/>
        </w:rPr>
        <w:t>自适应滞后与风险敏感决策机制</w:t>
      </w:r>
    </w:p>
    <w:p>
      <w:pPr>
        <w:pStyle w:val="Normal"/>
        <w:rPr/>
      </w:pPr>
      <w:r>
        <w:rPr/>
        <w:t>上述</w:t>
      </w:r>
      <w:r>
        <w:rPr/>
        <w:t>LAAVHA</w:t>
      </w:r>
      <w:r>
        <w:rPr/>
        <w:t>决策流程中的双重滞后机制采用固定参数（</w:t>
      </w:r>
      <w:r>
        <w:rPr/>
        <w:t>Δ_th=0.05, T=3</w:t>
      </w:r>
      <w:r>
        <w:rPr/>
        <w:t>），在信道平稳场景下表现良好，但缺乏对场景变化的适应能力——当网络波动加剧时，固定阈值可能无法有效过滤瞬时异常；当飞行速度显著变化时，固定确认窗口可能无法及时响应。此外，原始</w:t>
      </w:r>
      <w:r>
        <w:rPr/>
        <w:t>TOPSIS</w:t>
      </w:r>
      <w:r>
        <w:rPr/>
        <w:t>排序仅考虑候选网络的期望贴近度，未对评分序列的波动性进行风险建模。为此，在不重新训练模型的条件下，提出以下两项增强机制。</w:t>
      </w:r>
    </w:p>
    <w:p>
      <w:pPr>
        <w:pStyle w:val="Normal"/>
        <w:rPr>
          <w:sz w:val="22"/>
          <w:szCs w:val="22"/>
        </w:rPr>
      </w:pPr>
      <w:r>
        <w:rPr>
          <w:b/>
          <w:bCs/>
          <w:sz w:val="22"/>
          <w:szCs w:val="22"/>
        </w:rPr>
        <w:t>2.4.1</w:t>
      </w:r>
      <w:r>
        <w:rPr>
          <w:b/>
          <w:bCs/>
          <w:sz w:val="22"/>
          <w:szCs w:val="22"/>
        </w:rPr>
        <w:t>自适应滞后参数</w:t>
      </w:r>
    </w:p>
    <w:p>
      <w:pPr>
        <w:pStyle w:val="Normal"/>
        <w:rPr/>
      </w:pPr>
      <w:r>
        <w:rPr/>
        <w:t>将固定阈值</w:t>
      </w:r>
      <w:r>
        <w:rPr/>
        <w:t>Δ_th</w:t>
      </w:r>
      <w:r>
        <w:rPr/>
        <w:t>和窗口</w:t>
      </w:r>
      <w:r>
        <w:rPr/>
        <w:t>T</w:t>
      </w:r>
      <w:r>
        <w:rPr/>
        <w:t>替换为上下文感知的可变参数。定义近期</w:t>
      </w:r>
      <w:r>
        <w:rPr/>
        <w:t>SINR</w:t>
      </w:r>
      <w:r>
        <w:rPr/>
        <w:t>波动度</w:t>
      </w:r>
      <w:r>
        <w:rPr/>
        <w:t>σ</w:t>
      </w:r>
      <w:r>
        <w:rPr/>
        <w:t>为当前服务网络近</w:t>
      </w:r>
      <w:r>
        <w:rPr/>
        <w:t>5</w:t>
      </w:r>
      <w:r>
        <w:rPr/>
        <w:t>个决策周期</w:t>
      </w:r>
      <w:r>
        <w:rPr/>
        <w:t>SINR</w:t>
      </w:r>
      <w:r>
        <w:rPr/>
        <w:t>的标准差，飞行速度</w:t>
      </w:r>
      <w:r>
        <w:rPr/>
        <w:t>v</w:t>
      </w:r>
      <w:r>
        <w:rPr/>
        <w:t>由</w:t>
      </w:r>
      <w:r>
        <w:rPr/>
        <w:t>C++</w:t>
      </w:r>
      <w:r>
        <w:rPr/>
        <w:t>侧实时传入。自适应阈值和窗口计算公式为：</w:t>
      </w:r>
    </w:p>
    <w:p>
      <w:pPr>
        <w:pStyle w:val="Normal"/>
        <w:spacing w:before="60" w:after="60"/>
        <w:jc w:val="center"/>
        <w:rPr/>
      </w:pPr>
      <w:r>
        <w:rPr>
          <w:rFonts w:ascii="Times New Roman" w:hAnsi="Times New Roman"/>
          <w:i/>
          <w:sz w:val="20"/>
        </w:rPr>
        <w:t>Δ_th = 0.03 + 0.05·(σ / 10),   σ ∈ [0, 10]    (18a)</w:t>
      </w:r>
    </w:p>
    <w:p>
      <w:pPr>
        <w:pStyle w:val="Normal"/>
        <w:spacing w:before="60" w:after="60"/>
        <w:jc w:val="center"/>
        <w:rPr/>
      </w:pPr>
      <w:r>
        <w:rPr>
          <w:rFonts w:ascii="Times New Roman" w:hAnsi="Times New Roman"/>
          <w:i/>
          <w:sz w:val="20"/>
        </w:rPr>
        <w:t>T = max(2, ⌊4 − 2·v / 30⌋),   v ∈ [0, 30] m/s    (18b)</w:t>
      </w:r>
    </w:p>
    <w:p>
      <w:pPr>
        <w:pStyle w:val="Normal"/>
        <w:ind w:firstLine="420"/>
        <w:jc w:val="both"/>
        <w:rPr/>
      </w:pPr>
      <w:r>
        <w:rPr>
          <w:rFonts w:ascii="Times New Roman" w:hAnsi="Times New Roman" w:eastAsia="宋体"/>
          <w:sz w:val="21"/>
        </w:rPr>
        <w:t>式</w:t>
      </w:r>
      <w:r>
        <w:rPr>
          <w:rFonts w:eastAsia="宋体" w:ascii="Times New Roman" w:hAnsi="Times New Roman"/>
          <w:sz w:val="21"/>
        </w:rPr>
        <w:t>(18a)</w:t>
      </w:r>
      <w:r>
        <w:rPr>
          <w:rFonts w:ascii="Times New Roman" w:hAnsi="Times New Roman" w:eastAsia="宋体"/>
          <w:sz w:val="21"/>
        </w:rPr>
        <w:t>在信道稳定（</w:t>
      </w:r>
      <w:r>
        <w:rPr>
          <w:rFonts w:eastAsia="宋体" w:ascii="Times New Roman" w:hAnsi="Times New Roman"/>
          <w:sz w:val="21"/>
        </w:rPr>
        <w:t>σ≈0</w:t>
      </w:r>
      <w:r>
        <w:rPr>
          <w:rFonts w:ascii="Times New Roman" w:hAnsi="Times New Roman" w:eastAsia="宋体"/>
          <w:sz w:val="21"/>
        </w:rPr>
        <w:t>）时给出基础阈值</w:t>
      </w:r>
      <w:r>
        <w:rPr>
          <w:rFonts w:eastAsia="宋体" w:ascii="Times New Roman" w:hAnsi="Times New Roman"/>
          <w:sz w:val="21"/>
        </w:rPr>
        <w:t>0.03</w:t>
      </w:r>
      <w:r>
        <w:rPr>
          <w:rFonts w:ascii="Times New Roman" w:hAnsi="Times New Roman" w:eastAsia="宋体"/>
          <w:sz w:val="21"/>
        </w:rPr>
        <w:t>，低于原始固定值</w:t>
      </w:r>
      <w:r>
        <w:rPr>
          <w:rFonts w:eastAsia="宋体" w:ascii="Times New Roman" w:hAnsi="Times New Roman"/>
          <w:sz w:val="21"/>
        </w:rPr>
        <w:t>0.05</w:t>
      </w:r>
      <w:r>
        <w:rPr>
          <w:rFonts w:ascii="Times New Roman" w:hAnsi="Times New Roman" w:eastAsia="宋体"/>
          <w:sz w:val="21"/>
        </w:rPr>
        <w:t>，为快速响应真实退化预留空间；波动修正项使阈值随</w:t>
      </w:r>
      <w:r>
        <w:rPr>
          <w:rFonts w:eastAsia="宋体" w:ascii="Times New Roman" w:hAnsi="Times New Roman"/>
          <w:sz w:val="21"/>
        </w:rPr>
        <w:t>SINR</w:t>
      </w:r>
      <w:r>
        <w:rPr>
          <w:rFonts w:ascii="Times New Roman" w:hAnsi="Times New Roman" w:eastAsia="宋体"/>
          <w:sz w:val="21"/>
        </w:rPr>
        <w:t>波动线性增长至最高</w:t>
      </w:r>
      <w:r>
        <w:rPr>
          <w:rFonts w:eastAsia="宋体" w:ascii="Times New Roman" w:hAnsi="Times New Roman"/>
          <w:sz w:val="21"/>
        </w:rPr>
        <w:t>0.08</w:t>
      </w:r>
      <w:r>
        <w:rPr>
          <w:rFonts w:ascii="Times New Roman" w:hAnsi="Times New Roman" w:eastAsia="宋体"/>
          <w:sz w:val="21"/>
        </w:rPr>
        <w:t>，在信道振荡时抬高切换门槛以抑制乒乓。式</w:t>
      </w:r>
      <w:r>
        <w:rPr>
          <w:rFonts w:eastAsia="宋体" w:ascii="Times New Roman" w:hAnsi="Times New Roman"/>
          <w:sz w:val="21"/>
        </w:rPr>
        <w:t>(18b)</w:t>
      </w:r>
      <w:r>
        <w:rPr>
          <w:rFonts w:ascii="Times New Roman" w:hAnsi="Times New Roman" w:eastAsia="宋体"/>
          <w:sz w:val="21"/>
        </w:rPr>
        <w:t>在低速飞行（</w:t>
      </w:r>
      <w:r>
        <w:rPr>
          <w:rFonts w:eastAsia="宋体" w:ascii="Times New Roman" w:hAnsi="Times New Roman"/>
          <w:sz w:val="21"/>
        </w:rPr>
        <w:t>v≈5 m/s</w:t>
      </w:r>
      <w:r>
        <w:rPr>
          <w:rFonts w:ascii="Times New Roman" w:hAnsi="Times New Roman" w:eastAsia="宋体"/>
          <w:sz w:val="21"/>
        </w:rPr>
        <w:t>）时给出窗口</w:t>
      </w:r>
      <w:r>
        <w:rPr>
          <w:rFonts w:eastAsia="宋体" w:ascii="Times New Roman" w:hAnsi="Times New Roman"/>
          <w:sz w:val="21"/>
        </w:rPr>
        <w:t>4</w:t>
      </w:r>
      <w:r>
        <w:rPr>
          <w:rFonts w:ascii="Times New Roman" w:hAnsi="Times New Roman" w:eastAsia="宋体"/>
          <w:sz w:val="21"/>
        </w:rPr>
        <w:t>，提供充分的确认周期；窗口随速度增加而缩短至最低</w:t>
      </w:r>
      <w:r>
        <w:rPr>
          <w:rFonts w:eastAsia="宋体" w:ascii="Times New Roman" w:hAnsi="Times New Roman"/>
          <w:sz w:val="21"/>
        </w:rPr>
        <w:t>2</w:t>
      </w:r>
      <w:r>
        <w:rPr>
          <w:rFonts w:ascii="Times New Roman" w:hAnsi="Times New Roman" w:eastAsia="宋体"/>
          <w:sz w:val="21"/>
        </w:rPr>
        <w:t>，使高速无人机飞越覆盖边界时能及时切换。参数范围（</w:t>
      </w:r>
      <w:r>
        <w:rPr>
          <w:rFonts w:eastAsia="宋体" w:ascii="Times New Roman" w:hAnsi="Times New Roman"/>
          <w:sz w:val="21"/>
        </w:rPr>
        <w:t>Δ_th∈[0.03,0.08], T∈[2,4]</w:t>
      </w:r>
      <w:r>
        <w:rPr>
          <w:rFonts w:ascii="Times New Roman" w:hAnsi="Times New Roman" w:eastAsia="宋体"/>
          <w:sz w:val="21"/>
        </w:rPr>
        <w:t>）确保了极端条件下的基本防抖能力。窗口随速度增加而缩短的设计依据在于：高速飞行时网络覆盖边界转瞬即逝——以</w:t>
      </w:r>
      <w:r>
        <w:rPr>
          <w:rFonts w:eastAsia="宋体" w:ascii="Times New Roman" w:hAnsi="Times New Roman"/>
          <w:sz w:val="21"/>
        </w:rPr>
        <w:t>30 m/s</w:t>
      </w:r>
      <w:r>
        <w:rPr>
          <w:rFonts w:ascii="Times New Roman" w:hAnsi="Times New Roman" w:eastAsia="宋体"/>
          <w:sz w:val="21"/>
        </w:rPr>
        <w:t>飞行时，单个决策周期（</w:t>
      </w:r>
      <w:r>
        <w:rPr>
          <w:rFonts w:eastAsia="宋体" w:ascii="Times New Roman" w:hAnsi="Times New Roman"/>
          <w:sz w:val="21"/>
        </w:rPr>
        <w:t>0.1 s</w:t>
      </w:r>
      <w:r>
        <w:rPr>
          <w:rFonts w:ascii="Times New Roman" w:hAnsi="Times New Roman" w:eastAsia="宋体"/>
          <w:sz w:val="21"/>
        </w:rPr>
        <w:t>）内无人机已移动</w:t>
      </w:r>
      <w:r>
        <w:rPr>
          <w:rFonts w:eastAsia="宋体" w:ascii="Times New Roman" w:hAnsi="Times New Roman"/>
          <w:sz w:val="21"/>
        </w:rPr>
        <w:t>3 m</w:t>
      </w:r>
      <w:r>
        <w:rPr>
          <w:rFonts w:ascii="Times New Roman" w:hAnsi="Times New Roman" w:eastAsia="宋体"/>
          <w:sz w:val="21"/>
        </w:rPr>
        <w:t>，若维持长窗口</w:t>
      </w:r>
      <w:r>
        <w:rPr>
          <w:rFonts w:eastAsia="宋体" w:ascii="Times New Roman" w:hAnsi="Times New Roman"/>
          <w:sz w:val="21"/>
        </w:rPr>
        <w:t>T=4</w:t>
      </w:r>
      <w:r>
        <w:rPr>
          <w:rFonts w:ascii="Times New Roman" w:hAnsi="Times New Roman" w:eastAsia="宋体"/>
          <w:sz w:val="21"/>
        </w:rPr>
        <w:t>（</w:t>
      </w:r>
      <w:r>
        <w:rPr>
          <w:rFonts w:eastAsia="宋体" w:ascii="Times New Roman" w:hAnsi="Times New Roman"/>
          <w:sz w:val="21"/>
        </w:rPr>
        <w:t>0.4 s</w:t>
      </w:r>
      <w:r>
        <w:rPr>
          <w:rFonts w:ascii="Times New Roman" w:hAnsi="Times New Roman" w:eastAsia="宋体"/>
          <w:sz w:val="21"/>
        </w:rPr>
        <w:t>）则确认期间位移达</w:t>
      </w:r>
      <w:r>
        <w:rPr>
          <w:rFonts w:eastAsia="宋体" w:ascii="Times New Roman" w:hAnsi="Times New Roman"/>
          <w:sz w:val="21"/>
        </w:rPr>
        <w:t>12 m</w:t>
      </w:r>
      <w:r>
        <w:rPr>
          <w:rFonts w:ascii="Times New Roman" w:hAnsi="Times New Roman" w:eastAsia="宋体"/>
          <w:sz w:val="21"/>
        </w:rPr>
        <w:t>，可能已从</w:t>
      </w:r>
      <w:r>
        <w:rPr>
          <w:rFonts w:eastAsia="宋体" w:ascii="Times New Roman" w:hAnsi="Times New Roman"/>
          <w:sz w:val="21"/>
        </w:rPr>
        <w:t>WiFi</w:t>
      </w:r>
      <w:r>
        <w:rPr>
          <w:rFonts w:ascii="Times New Roman" w:hAnsi="Times New Roman" w:eastAsia="宋体"/>
          <w:sz w:val="21"/>
        </w:rPr>
        <w:t>覆盖中心飞至边缘，初始判断在确认完成时已失效；缩短至</w:t>
      </w:r>
      <w:r>
        <w:rPr>
          <w:rFonts w:eastAsia="宋体" w:ascii="Times New Roman" w:hAnsi="Times New Roman"/>
          <w:sz w:val="21"/>
        </w:rPr>
        <w:t>T=2</w:t>
      </w:r>
      <w:r>
        <w:rPr>
          <w:rFonts w:ascii="Times New Roman" w:hAnsi="Times New Roman" w:eastAsia="宋体"/>
          <w:sz w:val="21"/>
        </w:rPr>
        <w:t>（</w:t>
      </w:r>
      <w:r>
        <w:rPr>
          <w:rFonts w:eastAsia="宋体" w:ascii="Times New Roman" w:hAnsi="Times New Roman"/>
          <w:sz w:val="21"/>
        </w:rPr>
        <w:t>0.2 s</w:t>
      </w:r>
      <w:r>
        <w:rPr>
          <w:rFonts w:ascii="Times New Roman" w:hAnsi="Times New Roman" w:eastAsia="宋体"/>
          <w:sz w:val="21"/>
        </w:rPr>
        <w:t>，位移</w:t>
      </w:r>
      <w:r>
        <w:rPr>
          <w:rFonts w:eastAsia="宋体" w:ascii="Times New Roman" w:hAnsi="Times New Roman"/>
          <w:sz w:val="21"/>
        </w:rPr>
        <w:t>6 m</w:t>
      </w:r>
      <w:r>
        <w:rPr>
          <w:rFonts w:ascii="Times New Roman" w:hAnsi="Times New Roman" w:eastAsia="宋体"/>
          <w:sz w:val="21"/>
        </w:rPr>
        <w:t>）使算法在覆盖边界附近能更快锁定真正需要切换的时刻，以少量防抖冗余换取切换时效。反之低速</w:t>
      </w:r>
      <w:r>
        <w:rPr>
          <w:rFonts w:eastAsia="宋体" w:ascii="Times New Roman" w:hAnsi="Times New Roman"/>
          <w:sz w:val="21"/>
        </w:rPr>
        <w:t>5 m/s</w:t>
      </w:r>
      <w:r>
        <w:rPr>
          <w:rFonts w:ascii="Times New Roman" w:hAnsi="Times New Roman" w:eastAsia="宋体"/>
          <w:sz w:val="21"/>
        </w:rPr>
        <w:t>时</w:t>
      </w:r>
      <w:r>
        <w:rPr>
          <w:rFonts w:eastAsia="宋体" w:ascii="Times New Roman" w:hAnsi="Times New Roman"/>
          <w:sz w:val="21"/>
        </w:rPr>
        <w:t>T=4</w:t>
      </w:r>
      <w:r>
        <w:rPr>
          <w:rFonts w:ascii="Times New Roman" w:hAnsi="Times New Roman" w:eastAsia="宋体"/>
          <w:sz w:val="21"/>
        </w:rPr>
        <w:t>期间仅位移</w:t>
      </w:r>
      <w:r>
        <w:rPr>
          <w:rFonts w:eastAsia="宋体" w:ascii="Times New Roman" w:hAnsi="Times New Roman"/>
          <w:sz w:val="21"/>
        </w:rPr>
        <w:t>2 m</w:t>
      </w:r>
      <w:r>
        <w:rPr>
          <w:rFonts w:ascii="Times New Roman" w:hAnsi="Times New Roman" w:eastAsia="宋体"/>
          <w:sz w:val="21"/>
        </w:rPr>
        <w:t>，网络条件几乎不变，长窗口可充分过滤偶然抖动而不增加失效风险。</w:t>
      </w:r>
    </w:p>
    <w:p>
      <w:pPr>
        <w:pStyle w:val="Normal"/>
        <w:rPr>
          <w:b/>
          <w:bCs/>
        </w:rPr>
      </w:pPr>
      <w:r>
        <w:rPr>
          <w:b/>
          <w:bCs/>
        </w:rPr>
        <w:t>2.4.2</w:t>
      </w:r>
      <w:r>
        <w:rPr>
          <w:b/>
          <w:bCs/>
        </w:rPr>
        <w:t>风险敏感</w:t>
      </w:r>
      <w:r>
        <w:rPr>
          <w:b/>
          <w:bCs/>
        </w:rPr>
        <w:t>TOPSIS</w:t>
      </w:r>
    </w:p>
    <w:p>
      <w:pPr>
        <w:pStyle w:val="Normal"/>
        <w:rPr/>
      </w:pPr>
      <w:r>
        <w:rPr/>
        <w:t>原始</w:t>
      </w:r>
      <w:r>
        <w:rPr/>
        <w:t>TOPSIS</w:t>
      </w:r>
      <w:r>
        <w:rPr/>
        <w:t>以当前贴近度</w:t>
      </w:r>
      <w:r>
        <w:rPr/>
        <w:t>C_i</w:t>
      </w:r>
      <w:r>
        <w:rPr/>
        <w:t>作为排序依据。增强版引入置信下界（</w:t>
      </w:r>
      <w:r>
        <w:rPr/>
        <w:t>Lower Confidence Bound, LCB</w:t>
      </w:r>
      <w:r>
        <w:rPr/>
        <w:t>）思想，对候选网络评分减去其历史波动惩罚项：</w:t>
      </w:r>
    </w:p>
    <w:p>
      <w:pPr>
        <w:pStyle w:val="Normal"/>
        <w:spacing w:before="60" w:after="60"/>
        <w:jc w:val="center"/>
        <w:rPr/>
      </w:pPr>
      <w:r>
        <w:rPr>
          <w:rFonts w:ascii="Times New Roman" w:hAnsi="Times New Roman"/>
          <w:i/>
          <w:sz w:val="20"/>
        </w:rPr>
        <w:t>C_i^{robust} = C_i − λ·σ_i^C,   λ = 0.5    (19)</w:t>
      </w:r>
    </w:p>
    <w:p>
      <w:pPr>
        <w:pStyle w:val="Normal"/>
        <w:spacing w:before="60" w:after="60"/>
        <w:jc w:val="left"/>
        <w:rPr>
          <w:sz w:val="22"/>
          <w:szCs w:val="22"/>
        </w:rPr>
      </w:pPr>
      <w:r>
        <w:rPr>
          <w:rFonts w:ascii="Times New Roman" w:hAnsi="Times New Roman"/>
          <w:sz w:val="22"/>
          <w:szCs w:val="22"/>
        </w:rPr>
        <w:t>其中</w:t>
      </w:r>
      <w:r>
        <w:rPr>
          <w:rFonts w:ascii="Times New Roman" w:hAnsi="Times New Roman"/>
          <w:sz w:val="22"/>
          <w:szCs w:val="22"/>
        </w:rPr>
        <w:t>σ_i^C</w:t>
      </w:r>
      <w:r>
        <w:rPr>
          <w:rFonts w:ascii="Times New Roman" w:hAnsi="Times New Roman"/>
          <w:sz w:val="22"/>
          <w:szCs w:val="22"/>
        </w:rPr>
        <w:t>为网络</w:t>
      </w:r>
      <w:r>
        <w:rPr>
          <w:rFonts w:ascii="Times New Roman" w:hAnsi="Times New Roman"/>
          <w:sz w:val="22"/>
          <w:szCs w:val="22"/>
        </w:rPr>
        <w:t>i</w:t>
      </w:r>
      <w:r>
        <w:rPr>
          <w:rFonts w:ascii="Times New Roman" w:hAnsi="Times New Roman"/>
          <w:sz w:val="22"/>
          <w:szCs w:val="22"/>
        </w:rPr>
        <w:t>近</w:t>
      </w:r>
      <w:r>
        <w:rPr>
          <w:rFonts w:ascii="Times New Roman" w:hAnsi="Times New Roman"/>
          <w:sz w:val="22"/>
          <w:szCs w:val="22"/>
        </w:rPr>
        <w:t>5</w:t>
      </w:r>
      <w:r>
        <w:rPr>
          <w:rFonts w:ascii="Times New Roman" w:hAnsi="Times New Roman"/>
          <w:sz w:val="22"/>
          <w:szCs w:val="22"/>
        </w:rPr>
        <w:t>轮评分的标准差，</w:t>
      </w:r>
      <w:r>
        <w:rPr>
          <w:rFonts w:ascii="Times New Roman" w:hAnsi="Times New Roman"/>
          <w:sz w:val="22"/>
          <w:szCs w:val="22"/>
        </w:rPr>
        <w:t>λ=0.5</w:t>
      </w:r>
      <w:r>
        <w:rPr>
          <w:rFonts w:ascii="Times New Roman" w:hAnsi="Times New Roman"/>
          <w:sz w:val="22"/>
          <w:szCs w:val="22"/>
        </w:rPr>
        <w:t>为风险厌恶系数。该机制的核心思想是——在多个候选网络贴近度接近时，优先选择评分稳定的网络而非均值略高但波动剧烈的网络。在遥感巡航场景中，若</w:t>
      </w:r>
      <w:r>
        <w:rPr>
          <w:rFonts w:ascii="Times New Roman" w:hAnsi="Times New Roman"/>
          <w:sz w:val="22"/>
          <w:szCs w:val="22"/>
        </w:rPr>
        <w:t>LTE</w:t>
      </w:r>
      <w:r>
        <w:rPr>
          <w:rFonts w:ascii="Times New Roman" w:hAnsi="Times New Roman"/>
          <w:sz w:val="22"/>
          <w:szCs w:val="22"/>
        </w:rPr>
        <w:t>在近</w:t>
      </w:r>
      <w:r>
        <w:rPr>
          <w:rFonts w:ascii="Times New Roman" w:hAnsi="Times New Roman"/>
          <w:sz w:val="22"/>
          <w:szCs w:val="22"/>
        </w:rPr>
        <w:t>5</w:t>
      </w:r>
      <w:r>
        <w:rPr>
          <w:rFonts w:ascii="Times New Roman" w:hAnsi="Times New Roman"/>
          <w:sz w:val="22"/>
          <w:szCs w:val="22"/>
        </w:rPr>
        <w:t>个周期内贴近度持续上升、方差较小，而</w:t>
      </w:r>
      <w:r>
        <w:rPr>
          <w:rFonts w:ascii="Times New Roman" w:hAnsi="Times New Roman"/>
          <w:sz w:val="22"/>
          <w:szCs w:val="22"/>
        </w:rPr>
        <w:t>WiFi</w:t>
      </w:r>
      <w:r>
        <w:rPr>
          <w:rFonts w:ascii="Times New Roman" w:hAnsi="Times New Roman"/>
          <w:sz w:val="22"/>
          <w:szCs w:val="22"/>
        </w:rPr>
        <w:t>贴近度在高低之间大幅跳动，即使</w:t>
      </w:r>
      <w:r>
        <w:rPr>
          <w:rFonts w:ascii="Times New Roman" w:hAnsi="Times New Roman"/>
          <w:sz w:val="22"/>
          <w:szCs w:val="22"/>
        </w:rPr>
        <w:t>WiFi</w:t>
      </w:r>
      <w:r>
        <w:rPr>
          <w:rFonts w:ascii="Times New Roman" w:hAnsi="Times New Roman"/>
          <w:sz w:val="22"/>
          <w:szCs w:val="22"/>
        </w:rPr>
        <w:t>的当前贴近度略高于</w:t>
      </w:r>
      <w:r>
        <w:rPr>
          <w:rFonts w:ascii="Times New Roman" w:hAnsi="Times New Roman"/>
          <w:sz w:val="22"/>
          <w:szCs w:val="22"/>
        </w:rPr>
        <w:t>LTE</w:t>
      </w:r>
      <w:r>
        <w:rPr>
          <w:rFonts w:ascii="Times New Roman" w:hAnsi="Times New Roman"/>
          <w:sz w:val="22"/>
          <w:szCs w:val="22"/>
        </w:rPr>
        <w:t>，</w:t>
      </w:r>
      <w:r>
        <w:rPr>
          <w:rFonts w:ascii="Times New Roman" w:hAnsi="Times New Roman"/>
          <w:sz w:val="22"/>
          <w:szCs w:val="22"/>
        </w:rPr>
        <w:t>C^robust</w:t>
      </w:r>
      <w:r>
        <w:rPr>
          <w:rFonts w:ascii="Times New Roman" w:hAnsi="Times New Roman"/>
          <w:sz w:val="22"/>
          <w:szCs w:val="22"/>
        </w:rPr>
        <w:t>排序仍将偏好</w:t>
      </w:r>
      <w:r>
        <w:rPr>
          <w:rFonts w:ascii="Times New Roman" w:hAnsi="Times New Roman"/>
          <w:sz w:val="22"/>
          <w:szCs w:val="22"/>
        </w:rPr>
        <w:t>LTE</w:t>
      </w:r>
      <w:r>
        <w:rPr>
          <w:rFonts w:ascii="Times New Roman" w:hAnsi="Times New Roman"/>
          <w:sz w:val="22"/>
          <w:szCs w:val="22"/>
        </w:rPr>
        <w:t>，保障遥感数据传输的连续性。</w:t>
      </w:r>
    </w:p>
    <w:p>
      <w:pPr>
        <w:pStyle w:val="Normal"/>
        <w:spacing w:before="60" w:after="60"/>
        <w:jc w:val="left"/>
        <w:rPr>
          <w:sz w:val="22"/>
          <w:szCs w:val="22"/>
        </w:rPr>
      </w:pPr>
      <w:r>
        <w:rPr>
          <w:sz w:val="22"/>
          <w:szCs w:val="22"/>
        </w:rPr>
      </w:r>
    </w:p>
    <w:p>
      <w:pPr>
        <w:pStyle w:val="Normal"/>
        <w:spacing w:before="60" w:after="60"/>
        <w:jc w:val="left"/>
        <w:rPr>
          <w:sz w:val="22"/>
          <w:szCs w:val="22"/>
        </w:rPr>
      </w:pPr>
      <w:r>
        <w:rPr>
          <w:rFonts w:ascii="Times New Roman" w:hAnsi="Times New Roman"/>
          <w:sz w:val="22"/>
          <w:szCs w:val="22"/>
        </w:rPr>
        <w:t>两项增强机制的关键优势在于：无需重新训练</w:t>
      </w:r>
      <w:r>
        <w:rPr>
          <w:rFonts w:ascii="Times New Roman" w:hAnsi="Times New Roman"/>
          <w:sz w:val="22"/>
          <w:szCs w:val="22"/>
        </w:rPr>
        <w:t>LSTM-Attention</w:t>
      </w:r>
      <w:r>
        <w:rPr>
          <w:rFonts w:ascii="Times New Roman" w:hAnsi="Times New Roman"/>
          <w:sz w:val="22"/>
          <w:szCs w:val="22"/>
        </w:rPr>
        <w:t>模型，仅修改决策层的参数和排序逻辑，即可为算法增加环境感知能力。在信道平稳时，自适应参数退化为接近原始固定值，与原版表现一致；在信道剧烈波动时，自适应阈值、缩短窗口和风险罚分协同作用，抑制乒乓切换。</w:t>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ns-3.45[19]</w:t>
      </w:r>
      <w:r>
        <w:rPr>
          <w:rFonts w:ascii="Times New Roman" w:hAnsi="Times New Roman" w:eastAsia="宋体"/>
          <w:b w:val="false"/>
          <w:sz w:val="21"/>
        </w:rPr>
        <w:t>和</w:t>
      </w:r>
      <w:r>
        <w:rPr>
          <w:rFonts w:eastAsia="宋体" w:ascii="Times New Roman" w:hAnsi="Times New Roman"/>
          <w:b w:val="false"/>
          <w:sz w:val="21"/>
        </w:rPr>
        <w:t>ns3-ai[20]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后得到候选网络评分。实验采用</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），模拟无人机在不同初始位置和高度条件下执行遥感巡航任务。仿真时长为</w:t>
      </w:r>
      <w:r>
        <w:rPr>
          <w:rFonts w:eastAsia="宋体" w:ascii="Times New Roman" w:hAnsi="Times New Roman"/>
          <w:b w:val="false"/>
          <w:sz w:val="21"/>
        </w:rPr>
        <w:t>10 s</w:t>
      </w:r>
      <w:r>
        <w:rPr>
          <w:rFonts w:ascii="Times New Roman" w:hAnsi="Times New Roman" w:eastAsia="宋体"/>
          <w:b w:val="false"/>
          <w:sz w:val="21"/>
        </w:rPr>
        <w:t>，决策周期为</w:t>
      </w:r>
      <w:r>
        <w:rPr>
          <w:rFonts w:eastAsia="宋体" w:ascii="Times New Roman" w:hAnsi="Times New Roman"/>
          <w:b w:val="false"/>
          <w:sz w:val="21"/>
        </w:rPr>
        <w:t>0.1 s</w:t>
      </w:r>
      <w:r>
        <w:rPr>
          <w:rFonts w:ascii="Times New Roman" w:hAnsi="Times New Roman" w:eastAsia="宋体"/>
          <w:b w:val="false"/>
          <w:sz w:val="21"/>
        </w:rPr>
        <w:t>，每组实验产生</w:t>
      </w:r>
      <w:r>
        <w:rPr>
          <w:rFonts w:eastAsia="宋体" w:ascii="Times New Roman" w:hAnsi="Times New Roman"/>
          <w:b w:val="false"/>
          <w:sz w:val="21"/>
        </w:rPr>
        <w:t>100</w:t>
      </w:r>
      <w:r>
        <w:rPr>
          <w:rFonts w:ascii="Times New Roman" w:hAnsi="Times New Roman" w:eastAsia="宋体"/>
          <w:b w:val="false"/>
          <w:sz w:val="21"/>
        </w:rPr>
        <w:t>次决策。为模拟实际飞行中的位置偏差和高度波动，启用位置扰动（</w:t>
      </w:r>
      <w:r>
        <w:rPr>
          <w:rFonts w:eastAsia="宋体" w:ascii="Times New Roman" w:hAnsi="Times New Roman"/>
          <w:b w:val="false"/>
          <w:sz w:val="21"/>
        </w:rPr>
        <w:t>30 m</w:t>
      </w:r>
      <w:r>
        <w:rPr>
          <w:rFonts w:ascii="Times New Roman" w:hAnsi="Times New Roman" w:eastAsia="宋体"/>
          <w:b w:val="false"/>
          <w:sz w:val="21"/>
        </w:rPr>
        <w:t>）和高度扰动（</w:t>
      </w:r>
      <w:r>
        <w:rPr>
          <w:rFonts w:eastAsia="宋体" w:ascii="Times New Roman" w:hAnsi="Times New Roman"/>
          <w:b w:val="false"/>
          <w:sz w:val="21"/>
        </w:rPr>
        <w:t>10 m</w:t>
      </w:r>
      <w:r>
        <w:rPr>
          <w:rFonts w:ascii="Times New Roman" w:hAnsi="Times New Roman" w:eastAsia="宋体"/>
          <w:b w:val="false"/>
          <w:sz w:val="21"/>
        </w:rPr>
        <w:t>）。</w:t>
      </w:r>
    </w:p>
    <w:p>
      <w:pPr>
        <w:pStyle w:val="Normal"/>
        <w:ind w:firstLine="420" w:left="0"/>
        <w:jc w:val="both"/>
        <w:rPr/>
      </w:pPr>
      <w:r>
        <w:rPr>
          <w:rFonts w:ascii="Times New Roman" w:hAnsi="Times New Roman" w:eastAsia="宋体"/>
          <w:b w:val="false"/>
          <w:sz w:val="22"/>
          <w:szCs w:val="22"/>
        </w:rPr>
        <w:t>实验除</w:t>
      </w:r>
      <w:r>
        <w:rPr>
          <w:rFonts w:eastAsia="宋体" w:ascii="Times New Roman" w:hAnsi="Times New Roman"/>
          <w:b w:val="false"/>
          <w:sz w:val="22"/>
          <w:szCs w:val="22"/>
        </w:rPr>
        <w:t>LAAVHA</w:t>
      </w:r>
      <w:r>
        <w:rPr>
          <w:rFonts w:ascii="Times New Roman" w:hAnsi="Times New Roman" w:eastAsia="宋体"/>
          <w:b w:val="false"/>
          <w:sz w:val="22"/>
          <w:szCs w:val="22"/>
        </w:rPr>
        <w:t>外，还运行了</w:t>
      </w:r>
      <w:r>
        <w:rPr>
          <w:rFonts w:eastAsia="宋体" w:ascii="Times New Roman" w:hAnsi="Times New Roman"/>
          <w:b w:val="false"/>
          <w:sz w:val="22"/>
          <w:szCs w:val="22"/>
        </w:rPr>
        <w:t>TOPSIS-Q</w:t>
      </w:r>
      <w:r>
        <w:rPr>
          <w:rFonts w:ascii="Times New Roman" w:hAnsi="Times New Roman" w:eastAsia="宋体"/>
          <w:b w:val="false"/>
          <w:sz w:val="22"/>
          <w:szCs w:val="22"/>
        </w:rPr>
        <w:t>、</w:t>
      </w:r>
      <w:r>
        <w:rPr>
          <w:rFonts w:eastAsia="宋体" w:ascii="Times New Roman" w:hAnsi="Times New Roman"/>
          <w:b w:val="false"/>
          <w:sz w:val="22"/>
          <w:szCs w:val="22"/>
        </w:rPr>
        <w:t>Fuzzy-VHO</w:t>
      </w:r>
      <w:r>
        <w:rPr>
          <w:rFonts w:ascii="Times New Roman" w:hAnsi="Times New Roman" w:eastAsia="宋体"/>
          <w:b w:val="false"/>
          <w:sz w:val="22"/>
          <w:szCs w:val="22"/>
        </w:rPr>
        <w:t>、</w:t>
      </w:r>
      <w:r>
        <w:rPr>
          <w:rFonts w:eastAsia="宋体" w:ascii="Times New Roman" w:hAnsi="Times New Roman"/>
          <w:b w:val="false"/>
          <w:sz w:val="22"/>
          <w:szCs w:val="22"/>
        </w:rPr>
        <w:t>SAW</w:t>
      </w:r>
      <w:r>
        <w:rPr>
          <w:rFonts w:ascii="Times New Roman" w:hAnsi="Times New Roman" w:eastAsia="宋体"/>
          <w:b w:val="false"/>
          <w:sz w:val="22"/>
          <w:szCs w:val="22"/>
        </w:rPr>
        <w:t>、</w:t>
      </w:r>
      <w:r>
        <w:rPr>
          <w:rFonts w:eastAsia="宋体" w:ascii="Times New Roman" w:hAnsi="Times New Roman"/>
          <w:b w:val="false"/>
          <w:sz w:val="22"/>
          <w:szCs w:val="22"/>
        </w:rPr>
        <w:t>VIKOR</w:t>
      </w:r>
      <w:r>
        <w:rPr>
          <w:rFonts w:ascii="Times New Roman" w:hAnsi="Times New Roman" w:eastAsia="宋体"/>
          <w:b w:val="false"/>
          <w:sz w:val="22"/>
          <w:szCs w:val="22"/>
        </w:rPr>
        <w:t>、</w:t>
      </w:r>
      <w:r>
        <w:rPr>
          <w:rFonts w:eastAsia="宋体" w:ascii="Times New Roman" w:hAnsi="Times New Roman"/>
          <w:b w:val="false"/>
          <w:sz w:val="22"/>
          <w:szCs w:val="22"/>
        </w:rPr>
        <w:t>GRA</w:t>
      </w:r>
      <w:r>
        <w:rPr>
          <w:rFonts w:ascii="Times New Roman" w:hAnsi="Times New Roman" w:eastAsia="宋体"/>
          <w:b w:val="false"/>
          <w:sz w:val="22"/>
          <w:szCs w:val="22"/>
        </w:rPr>
        <w:t>、</w:t>
      </w:r>
      <w:r>
        <w:rPr>
          <w:rFonts w:eastAsia="宋体" w:ascii="Times New Roman" w:hAnsi="Times New Roman"/>
          <w:b w:val="false"/>
          <w:sz w:val="22"/>
          <w:szCs w:val="22"/>
        </w:rPr>
        <w:t>COPRAS</w:t>
      </w:r>
      <w:r>
        <w:rPr>
          <w:rFonts w:ascii="Times New Roman" w:hAnsi="Times New Roman" w:eastAsia="宋体"/>
          <w:b w:val="false"/>
          <w:sz w:val="22"/>
          <w:szCs w:val="22"/>
        </w:rPr>
        <w:t>、</w:t>
      </w:r>
      <w:r>
        <w:rPr>
          <w:rFonts w:eastAsia="宋体" w:ascii="Times New Roman" w:hAnsi="Times New Roman"/>
          <w:b w:val="false"/>
          <w:sz w:val="22"/>
          <w:szCs w:val="22"/>
        </w:rPr>
        <w:t>SPOTIS</w:t>
      </w:r>
      <w:r>
        <w:rPr>
          <w:rFonts w:ascii="Times New Roman" w:hAnsi="Times New Roman" w:eastAsia="宋体"/>
          <w:b w:val="false"/>
          <w:sz w:val="22"/>
          <w:szCs w:val="22"/>
        </w:rPr>
        <w:t>和最强信号法等</w:t>
      </w:r>
      <w:r>
        <w:rPr>
          <w:rFonts w:eastAsia="宋体" w:ascii="Times New Roman" w:hAnsi="Times New Roman"/>
          <w:b w:val="false"/>
          <w:sz w:val="22"/>
          <w:szCs w:val="22"/>
        </w:rPr>
        <w:t>8</w:t>
      </w:r>
      <w:r>
        <w:rPr>
          <w:rFonts w:ascii="Times New Roman" w:hAnsi="Times New Roman" w:eastAsia="宋体"/>
          <w:b w:val="false"/>
          <w:sz w:val="22"/>
          <w:szCs w:val="22"/>
        </w:rPr>
        <w:t>种对比算法以及</w:t>
      </w:r>
      <w:r>
        <w:rPr>
          <w:rFonts w:eastAsia="宋体" w:ascii="Times New Roman" w:hAnsi="Times New Roman"/>
          <w:b w:val="false"/>
          <w:sz w:val="22"/>
          <w:szCs w:val="22"/>
        </w:rPr>
        <w:t>LAAVHA-L</w:t>
      </w:r>
      <w:r>
        <w:rPr>
          <w:rFonts w:ascii="Times New Roman" w:hAnsi="Times New Roman" w:eastAsia="宋体"/>
          <w:b w:val="false"/>
          <w:sz w:val="22"/>
          <w:szCs w:val="22"/>
        </w:rPr>
        <w:t>、</w:t>
      </w:r>
      <w:r>
        <w:rPr>
          <w:rFonts w:eastAsia="宋体" w:ascii="Times New Roman" w:hAnsi="Times New Roman"/>
          <w:b w:val="false"/>
          <w:sz w:val="22"/>
          <w:szCs w:val="22"/>
        </w:rPr>
        <w:t>LAAVHA-A</w:t>
      </w:r>
      <w:r>
        <w:rPr>
          <w:rFonts w:ascii="Times New Roman" w:hAnsi="Times New Roman" w:eastAsia="宋体"/>
          <w:b w:val="false"/>
          <w:sz w:val="22"/>
          <w:szCs w:val="22"/>
        </w:rPr>
        <w:t>两种消融变体。这</w:t>
      </w:r>
      <w:r>
        <w:rPr>
          <w:rFonts w:eastAsia="宋体" w:ascii="Times New Roman" w:hAnsi="Times New Roman"/>
          <w:b w:val="false"/>
          <w:sz w:val="22"/>
          <w:szCs w:val="22"/>
        </w:rPr>
        <w:t>8</w:t>
      </w:r>
      <w:r>
        <w:rPr>
          <w:rFonts w:ascii="Times New Roman" w:hAnsi="Times New Roman" w:eastAsia="宋体"/>
          <w:b w:val="false"/>
          <w:sz w:val="22"/>
          <w:szCs w:val="22"/>
        </w:rPr>
        <w:t>种对比算法覆盖了模糊逻辑式（</w:t>
      </w:r>
      <w:r>
        <w:rPr>
          <w:rFonts w:eastAsia="宋体" w:ascii="Times New Roman" w:hAnsi="Times New Roman"/>
          <w:b w:val="false"/>
          <w:sz w:val="22"/>
          <w:szCs w:val="22"/>
        </w:rPr>
        <w:t>Fuzzy-VHO</w:t>
      </w:r>
      <w:r>
        <w:rPr>
          <w:rFonts w:ascii="Times New Roman" w:hAnsi="Times New Roman" w:eastAsia="宋体"/>
          <w:b w:val="false"/>
          <w:sz w:val="22"/>
          <w:szCs w:val="22"/>
        </w:rPr>
        <w:t>）、简单加权式（</w:t>
      </w:r>
      <w:r>
        <w:rPr>
          <w:rFonts w:eastAsia="宋体" w:ascii="Times New Roman" w:hAnsi="Times New Roman"/>
          <w:b w:val="false"/>
          <w:sz w:val="22"/>
          <w:szCs w:val="22"/>
        </w:rPr>
        <w:t>SAW</w:t>
      </w:r>
      <w:r>
        <w:rPr>
          <w:rFonts w:ascii="Times New Roman" w:hAnsi="Times New Roman" w:eastAsia="宋体"/>
          <w:b w:val="false"/>
          <w:sz w:val="22"/>
          <w:szCs w:val="22"/>
        </w:rPr>
        <w:t>）、补偿式（</w:t>
      </w:r>
      <w:r>
        <w:rPr>
          <w:rFonts w:eastAsia="宋体" w:ascii="Times New Roman" w:hAnsi="Times New Roman"/>
          <w:b w:val="false"/>
          <w:sz w:val="22"/>
          <w:szCs w:val="22"/>
        </w:rPr>
        <w:t>VIKOR</w:t>
      </w:r>
      <w:r>
        <w:rPr>
          <w:rFonts w:ascii="Times New Roman" w:hAnsi="Times New Roman" w:eastAsia="宋体"/>
          <w:b w:val="false"/>
          <w:sz w:val="22"/>
          <w:szCs w:val="22"/>
        </w:rPr>
        <w:t>）、距离式（</w:t>
      </w:r>
      <w:r>
        <w:rPr>
          <w:rFonts w:eastAsia="宋体" w:ascii="Times New Roman" w:hAnsi="Times New Roman"/>
          <w:b w:val="false"/>
          <w:sz w:val="22"/>
          <w:szCs w:val="22"/>
        </w:rPr>
        <w:t>TOPSIS-Q</w:t>
      </w:r>
      <w:r>
        <w:rPr>
          <w:rFonts w:ascii="Times New Roman" w:hAnsi="Times New Roman" w:eastAsia="宋体"/>
          <w:b w:val="false"/>
          <w:sz w:val="22"/>
          <w:szCs w:val="22"/>
        </w:rPr>
        <w:t>）、关联度式（</w:t>
      </w:r>
      <w:r>
        <w:rPr>
          <w:rFonts w:eastAsia="宋体" w:ascii="Times New Roman" w:hAnsi="Times New Roman"/>
          <w:b w:val="false"/>
          <w:sz w:val="22"/>
          <w:szCs w:val="22"/>
        </w:rPr>
        <w:t>GRA</w:t>
      </w:r>
      <w:r>
        <w:rPr>
          <w:rFonts w:ascii="Times New Roman" w:hAnsi="Times New Roman" w:eastAsia="宋体"/>
          <w:b w:val="false"/>
          <w:sz w:val="22"/>
          <w:szCs w:val="22"/>
        </w:rPr>
        <w:t>）、比例式（</w:t>
      </w:r>
      <w:r>
        <w:rPr>
          <w:rFonts w:eastAsia="宋体" w:ascii="Times New Roman" w:hAnsi="Times New Roman"/>
          <w:b w:val="false"/>
          <w:sz w:val="22"/>
          <w:szCs w:val="22"/>
        </w:rPr>
        <w:t>COPRAS</w:t>
      </w:r>
      <w:r>
        <w:rPr>
          <w:rFonts w:ascii="Times New Roman" w:hAnsi="Times New Roman" w:eastAsia="宋体"/>
          <w:b w:val="false"/>
          <w:sz w:val="22"/>
          <w:szCs w:val="22"/>
        </w:rPr>
        <w:t>）和参考点式（</w:t>
      </w:r>
      <w:r>
        <w:rPr>
          <w:rFonts w:eastAsia="宋体" w:ascii="Times New Roman" w:hAnsi="Times New Roman"/>
          <w:b w:val="false"/>
          <w:sz w:val="22"/>
          <w:szCs w:val="22"/>
        </w:rPr>
        <w:t>SPOTIS</w:t>
      </w:r>
      <w:r>
        <w:rPr>
          <w:rFonts w:ascii="Times New Roman" w:hAnsi="Times New Roman" w:eastAsia="宋体"/>
          <w:b w:val="false"/>
          <w:sz w:val="22"/>
          <w:szCs w:val="22"/>
        </w:rPr>
        <w:t>）七种主流决策范式，为全面评估</w:t>
      </w:r>
      <w:r>
        <w:rPr>
          <w:rFonts w:eastAsia="宋体" w:ascii="Times New Roman" w:hAnsi="Times New Roman"/>
          <w:b w:val="false"/>
          <w:sz w:val="22"/>
          <w:szCs w:val="22"/>
        </w:rPr>
        <w:t>LAAVHA</w:t>
      </w:r>
      <w:r>
        <w:rPr>
          <w:rFonts w:ascii="Times New Roman" w:hAnsi="Times New Roman" w:eastAsia="宋体"/>
          <w:b w:val="false"/>
          <w:sz w:val="22"/>
          <w:szCs w:val="22"/>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实验参数见表</w:t>
      </w:r>
      <w:r>
        <w:rPr>
          <w:rFonts w:eastAsia="宋体" w:ascii="Times New Roman" w:hAnsi="Times New Roman"/>
          <w:b w:val="false"/>
          <w:sz w:val="21"/>
        </w:rPr>
        <w:t>3</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spacing w:before="160" w:after="200"/>
        <w:jc w:val="center"/>
        <w:rPr>
          <w:rFonts w:ascii="Times New Roman" w:hAnsi="Times New Roman" w:eastAsia="黑体"/>
          <w:b w:val="false"/>
          <w:sz w:val="19"/>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50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200~249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 xml:space="preserve">时间窗口 </w:t>
            </w:r>
            <w:r>
              <w:rPr>
                <w:rFonts w:ascii="宋体" w:hAnsi="宋体"/>
                <w:sz w:val="18"/>
              </w:rPr>
              <w:t>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w:t>
            </w:r>
            <w:r>
              <w:rPr>
                <w:rFonts w:ascii="宋体" w:hAnsi="宋体"/>
                <w:sz w:val="18"/>
              </w:rPr>
              <w:t>隐藏单元</w:t>
            </w:r>
          </w:p>
        </w:tc>
        <w:tc>
          <w:tcPr>
            <w:tcW w:w="4761" w:type="dxa"/>
            <w:tcBorders/>
          </w:tcPr>
          <w:p>
            <w:pPr>
              <w:pStyle w:val="Normal"/>
              <w:spacing w:before="0" w:after="200"/>
              <w:jc w:val="center"/>
              <w:rPr/>
            </w:pPr>
            <w:r>
              <w:rPr>
                <w:rFonts w:ascii="宋体" w:hAnsi="宋体"/>
                <w:sz w:val="18"/>
              </w:rPr>
              <w:t>第一层</w:t>
            </w:r>
            <w:r>
              <w:rPr>
                <w:rFonts w:ascii="宋体" w:hAnsi="宋体"/>
                <w:sz w:val="18"/>
              </w:rPr>
              <w:t>128</w:t>
            </w:r>
            <w:r>
              <w:rPr>
                <w:rFonts w:ascii="宋体" w:hAnsi="宋体"/>
                <w:sz w:val="18"/>
              </w:rPr>
              <w:t>，第二层</w:t>
            </w:r>
            <w:r>
              <w:rPr>
                <w:rFonts w:ascii="宋体" w:hAnsi="宋体"/>
                <w:sz w:val="18"/>
              </w:rPr>
              <w:t>64</w:t>
            </w:r>
          </w:p>
        </w:tc>
      </w:tr>
      <w:tr>
        <w:trPr/>
        <w:tc>
          <w:tcPr>
            <w:tcW w:w="4762" w:type="dxa"/>
            <w:tcBorders/>
          </w:tcPr>
          <w:p>
            <w:pPr>
              <w:pStyle w:val="Normal"/>
              <w:spacing w:before="0" w:after="200"/>
              <w:jc w:val="center"/>
              <w:rPr/>
            </w:pPr>
            <w:r>
              <w:rPr>
                <w:rFonts w:ascii="宋体" w:hAnsi="宋体"/>
                <w:sz w:val="18"/>
              </w:rPr>
              <w:t>注意力头数（</w:t>
            </w:r>
            <w:r>
              <w:rPr>
                <w:rFonts w:ascii="宋体" w:hAnsi="宋体"/>
                <w:sz w:val="18"/>
              </w:rPr>
              <w:t>num_heads</w:t>
            </w:r>
            <w:r>
              <w:rPr>
                <w:rFonts w:ascii="宋体" w:hAnsi="宋体"/>
                <w:sz w:val="18"/>
              </w:rPr>
              <w:t>）</w:t>
            </w:r>
          </w:p>
        </w:tc>
        <w:tc>
          <w:tcPr>
            <w:tcW w:w="4761" w:type="dxa"/>
            <w:tcBorders/>
          </w:tcPr>
          <w:p>
            <w:pPr>
              <w:pStyle w:val="Normal"/>
              <w:spacing w:before="0" w:after="200"/>
              <w:jc w:val="center"/>
              <w:rPr/>
            </w:pPr>
            <w:r>
              <w:rPr>
                <w:rFonts w:ascii="宋体" w:hAnsi="宋体"/>
                <w:sz w:val="18"/>
              </w:rPr>
              <w:t>1</w:t>
            </w:r>
            <w:r>
              <w:rPr>
                <w:rFonts w:ascii="宋体" w:hAnsi="宋体"/>
                <w:sz w:val="18"/>
              </w:rPr>
              <w:t>（</w:t>
            </w:r>
            <w:r>
              <w:rPr>
                <w:rFonts w:ascii="宋体" w:hAnsi="宋体"/>
                <w:sz w:val="18"/>
              </w:rPr>
              <w:t>embed_dim=5</w:t>
            </w:r>
            <w:r>
              <w:rPr>
                <w:rFonts w:ascii="宋体" w:hAnsi="宋体"/>
                <w:sz w:val="18"/>
              </w:rPr>
              <w:t>约束）</w:t>
            </w:r>
          </w:p>
        </w:tc>
      </w:tr>
      <w:tr>
        <w:trPr/>
        <w:tc>
          <w:tcPr>
            <w:tcW w:w="4762" w:type="dxa"/>
            <w:tcBorders/>
          </w:tcPr>
          <w:p>
            <w:pPr>
              <w:pStyle w:val="Normal"/>
              <w:spacing w:before="0" w:after="200"/>
              <w:jc w:val="center"/>
              <w:rPr/>
            </w:pPr>
            <w:r>
              <w:rPr>
                <w:rFonts w:ascii="宋体" w:hAnsi="宋体"/>
                <w:sz w:val="18"/>
              </w:rPr>
              <w:t xml:space="preserve">融合系数 </w:t>
            </w:r>
            <w:r>
              <w:rPr>
                <w:rFonts w:ascii="宋体" w:hAnsi="宋体"/>
                <w:sz w:val="18"/>
              </w:rPr>
              <w:t>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w:t>
            </w:r>
            <w:r>
              <w:rPr>
                <w:rFonts w:ascii="宋体" w:hAnsi="宋体"/>
                <w:sz w:val="18"/>
              </w:rPr>
              <w:t>/</w:t>
            </w:r>
            <w:r>
              <w:rPr>
                <w:rFonts w:ascii="宋体" w:hAnsi="宋体"/>
                <w:sz w:val="18"/>
              </w:rPr>
              <w:t xml:space="preserve">验证 </w:t>
            </w:r>
            <w:r>
              <w:rPr>
                <w:rFonts w:ascii="宋体" w:hAnsi="宋体"/>
                <w:sz w:val="18"/>
              </w:rPr>
              <w:t>=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w:t>
            </w:r>
            <w:r>
              <w:rPr>
                <w:rFonts w:ascii="宋体" w:hAnsi="宋体"/>
                <w:sz w:val="18"/>
              </w:rPr>
              <w:t>10</w:t>
            </w:r>
            <w:r>
              <w:rPr>
                <w:rFonts w:ascii="宋体" w:hAnsi="宋体"/>
                <w:sz w:val="18"/>
              </w:rPr>
              <w:t>个</w:t>
            </w:r>
            <w:r>
              <w:rPr>
                <w:rFonts w:ascii="宋体" w:hAnsi="宋体"/>
                <w:sz w:val="18"/>
              </w:rPr>
              <w:t>epoch</w:t>
            </w:r>
            <w:r>
              <w:rPr>
                <w:rFonts w:ascii="宋体" w:hAnsi="宋体"/>
                <w:sz w:val="18"/>
              </w:rPr>
              <w:t>不下降</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8</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Fuzzy-VHO</w:t>
      </w:r>
      <w:r>
        <w:rPr>
          <w:rFonts w:ascii="Times New Roman" w:hAnsi="Times New Roman" w:eastAsia="宋体"/>
          <w:b w:val="false"/>
          <w:sz w:val="21"/>
        </w:rPr>
        <w:t>基于</w:t>
      </w:r>
      <w:r>
        <w:rPr>
          <w:rFonts w:eastAsia="宋体" w:ascii="Times New Roman" w:hAnsi="Times New Roman"/>
          <w:b w:val="false"/>
          <w:sz w:val="21"/>
        </w:rPr>
        <w:t>Mamdani</w:t>
      </w:r>
      <w:r>
        <w:rPr>
          <w:rFonts w:ascii="Times New Roman" w:hAnsi="Times New Roman" w:eastAsia="宋体"/>
          <w:b w:val="false"/>
          <w:sz w:val="21"/>
        </w:rPr>
        <w:t>模糊推理系统，将</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模糊化后通过规则库推理输出切换决策，无需精确数学模型；</w:t>
      </w:r>
      <w:r>
        <w:rPr>
          <w:rFonts w:eastAsia="宋体" w:ascii="Times New Roman" w:hAnsi="Times New Roman"/>
          <w:b w:val="false"/>
          <w:sz w:val="21"/>
        </w:rPr>
        <w:t>SAW</w:t>
      </w:r>
      <w:r>
        <w:rPr>
          <w:rFonts w:ascii="Times New Roman" w:hAnsi="Times New Roman" w:eastAsia="宋体"/>
          <w:b w:val="false"/>
          <w:sz w:val="21"/>
        </w:rPr>
        <w:t>以等权重对所有归一化属性进行简单加权求和，代表最基本的</w:t>
      </w:r>
      <w:r>
        <w:rPr>
          <w:rFonts w:eastAsia="宋体" w:ascii="Times New Roman" w:hAnsi="Times New Roman"/>
          <w:b w:val="false"/>
          <w:sz w:val="21"/>
        </w:rPr>
        <w:t>MADM</w:t>
      </w:r>
      <w:r>
        <w:rPr>
          <w:rFonts w:ascii="Times New Roman" w:hAnsi="Times New Roman" w:eastAsia="宋体"/>
          <w:b w:val="false"/>
          <w:sz w:val="21"/>
        </w:rPr>
        <w:t>方法；</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以参考点距离最小化为目标进行排序。最强信号法直接选择</w:t>
      </w:r>
      <w:r>
        <w:rPr>
          <w:rFonts w:eastAsia="宋体" w:ascii="Times New Roman" w:hAnsi="Times New Roman"/>
          <w:b w:val="false"/>
          <w:sz w:val="21"/>
        </w:rPr>
        <w:t>SINR</w:t>
      </w:r>
      <w:r>
        <w:rPr>
          <w:rFonts w:ascii="Times New Roman" w:hAnsi="Times New Roman" w:eastAsia="宋体"/>
          <w:b w:val="false"/>
          <w:sz w:val="21"/>
        </w:rPr>
        <w:t>最大的候选网络，作为单因素基线。</w:t>
      </w:r>
    </w:p>
    <w:p>
      <w:pPr>
        <w:pStyle w:val="Normal"/>
        <w:jc w:val="center"/>
        <w:rPr/>
      </w:pPr>
      <w:r>
        <w:rPr/>
        <w:drawing>
          <wp:inline distT="0" distB="0" distL="0" distR="0">
            <wp:extent cx="5029200" cy="213995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029200" cy="213995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1 11</w:t>
      </w:r>
      <w:r>
        <w:rPr>
          <w:rFonts w:ascii="Times New Roman" w:hAnsi="Times New Roman" w:eastAsia="宋体"/>
          <w:b w:val="false"/>
          <w:sz w:val="18"/>
        </w:rPr>
        <w:t>种算法平均切换次数对比（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代表性算法决策过程对比</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2</w:t>
      </w:r>
      <w:r>
        <w:rPr>
          <w:rFonts w:ascii="Times New Roman" w:hAnsi="Times New Roman" w:eastAsia="宋体"/>
          <w:b w:val="false"/>
          <w:sz w:val="21"/>
        </w:rPr>
        <w:t>以</w:t>
      </w:r>
      <w:r>
        <w:rPr>
          <w:rFonts w:eastAsia="宋体" w:ascii="Times New Roman" w:hAnsi="Times New Roman"/>
          <w:b w:val="false"/>
          <w:sz w:val="21"/>
        </w:rPr>
        <w:t>2</w:t>
      </w:r>
      <w:r>
        <w:rPr>
          <w:rFonts w:ascii="Times New Roman" w:hAnsi="Times New Roman" w:eastAsia="宋体"/>
          <w:b w:val="false"/>
          <w:sz w:val="21"/>
        </w:rPr>
        <w:t>行</w:t>
      </w:r>
      <w:r>
        <w:rPr>
          <w:rFonts w:eastAsia="宋体" w:ascii="Times New Roman" w:hAnsi="Times New Roman"/>
          <w:b w:val="false"/>
          <w:sz w:val="21"/>
        </w:rPr>
        <w:t>×3</w:t>
      </w:r>
      <w:r>
        <w:rPr>
          <w:rFonts w:ascii="Times New Roman" w:hAnsi="Times New Roman" w:eastAsia="宋体"/>
          <w:b w:val="false"/>
          <w:sz w:val="21"/>
        </w:rPr>
        <w:t>列布局对比了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Fuzzy-VHO</w:t>
      </w:r>
      <w:r>
        <w:rPr>
          <w:rFonts w:ascii="Times New Roman" w:hAnsi="Times New Roman" w:eastAsia="宋体"/>
          <w:b w:val="false"/>
          <w:sz w:val="21"/>
        </w:rPr>
        <w:t>三种算法在同一随机种子（</w:t>
      </w:r>
      <w:r>
        <w:rPr>
          <w:rFonts w:eastAsia="宋体" w:ascii="Times New Roman" w:hAnsi="Times New Roman"/>
          <w:b w:val="false"/>
          <w:sz w:val="21"/>
        </w:rPr>
        <w:t>seed=200</w:t>
      </w:r>
      <w:r>
        <w:rPr>
          <w:rFonts w:ascii="Times New Roman" w:hAnsi="Times New Roman" w:eastAsia="宋体"/>
          <w:b w:val="false"/>
          <w:sz w:val="21"/>
        </w:rPr>
        <w:t>）下的决策过程。上排三幅子图的纵轴为贴近度（</w:t>
      </w:r>
      <w:r>
        <w:rPr>
          <w:rFonts w:eastAsia="宋体" w:ascii="Times New Roman" w:hAnsi="Times New Roman"/>
          <w:b w:val="false"/>
          <w:sz w:val="21"/>
        </w:rPr>
        <w:t>Closeness Score</w:t>
      </w:r>
      <w:r>
        <w:rPr>
          <w:rFonts w:ascii="Times New Roman" w:hAnsi="Times New Roman" w:eastAsia="宋体"/>
          <w:b w:val="false"/>
          <w:sz w:val="21"/>
        </w:rPr>
        <w:t>），展示</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三个候选网络在</w:t>
      </w:r>
      <w:r>
        <w:rPr>
          <w:rFonts w:eastAsia="宋体" w:ascii="Times New Roman" w:hAnsi="Times New Roman"/>
          <w:b w:val="false"/>
          <w:sz w:val="21"/>
        </w:rPr>
        <w:t>TOPSIS</w:t>
      </w:r>
      <w:r>
        <w:rPr>
          <w:rFonts w:ascii="Times New Roman" w:hAnsi="Times New Roman" w:eastAsia="宋体"/>
          <w:b w:val="false"/>
          <w:sz w:val="21"/>
        </w:rPr>
        <w:t>排序中的综合得分变化——贴近度越接近</w:t>
      </w:r>
      <w:r>
        <w:rPr>
          <w:rFonts w:eastAsia="宋体" w:ascii="Times New Roman" w:hAnsi="Times New Roman"/>
          <w:b w:val="false"/>
          <w:sz w:val="21"/>
        </w:rPr>
        <w:t>1</w:t>
      </w:r>
      <w:r>
        <w:rPr>
          <w:rFonts w:ascii="Times New Roman" w:hAnsi="Times New Roman" w:eastAsia="宋体"/>
          <w:b w:val="false"/>
          <w:sz w:val="21"/>
        </w:rPr>
        <w:t>，表示该网络对遥感任务的综合保障能力越强；下排三幅子图的纵轴为</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dB</w:t>
      </w:r>
      <w:r>
        <w:rPr>
          <w:rFonts w:ascii="Times New Roman" w:hAnsi="Times New Roman" w:eastAsia="宋体"/>
          <w:b w:val="false"/>
          <w:sz w:val="21"/>
        </w:rPr>
        <w:t>），展示同一仿真中三个网络的物理层信号质量变化。红色竖虚线标记切换发生时刻。可以观察到，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贴近度在全过程中保持稳定高水平（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评分均远低于</w:t>
      </w:r>
      <w:r>
        <w:rPr>
          <w:rFonts w:eastAsia="宋体" w:ascii="Times New Roman" w:hAnsi="Times New Roman"/>
          <w:b w:val="false"/>
          <w:sz w:val="21"/>
        </w:rPr>
        <w:t>5G</w:t>
      </w:r>
      <w:r>
        <w:rPr>
          <w:rFonts w:ascii="Times New Roman" w:hAnsi="Times New Roman" w:eastAsia="宋体"/>
          <w:b w:val="false"/>
          <w:sz w:val="21"/>
        </w:rPr>
        <w:t>，结合双重滞后机制（</w:t>
      </w:r>
      <w:r>
        <w:rPr>
          <w:rFonts w:eastAsia="宋体" w:ascii="Times New Roman" w:hAnsi="Times New Roman"/>
          <w:b w:val="false"/>
          <w:sz w:val="21"/>
        </w:rPr>
        <w:t>Δ_th=0.05, T=3</w:t>
      </w:r>
      <w:r>
        <w:rPr>
          <w:rFonts w:ascii="Times New Roman" w:hAnsi="Times New Roman" w:eastAsia="宋体"/>
          <w:b w:val="false"/>
          <w:sz w:val="21"/>
        </w:rPr>
        <w:t>）全程未触发任何切换——尽管下排</w:t>
      </w:r>
      <w:r>
        <w:rPr>
          <w:rFonts w:eastAsia="宋体" w:ascii="Times New Roman" w:hAnsi="Times New Roman"/>
          <w:b w:val="false"/>
          <w:sz w:val="21"/>
        </w:rPr>
        <w:t>SINR</w:t>
      </w:r>
      <w:r>
        <w:rPr>
          <w:rFonts w:ascii="Times New Roman" w:hAnsi="Times New Roman" w:eastAsia="宋体"/>
          <w:b w:val="false"/>
          <w:sz w:val="21"/>
        </w:rPr>
        <w:t>子图显示</w:t>
      </w:r>
      <w:r>
        <w:rPr>
          <w:rFonts w:eastAsia="宋体" w:ascii="Times New Roman" w:hAnsi="Times New Roman"/>
          <w:b w:val="false"/>
          <w:sz w:val="21"/>
        </w:rPr>
        <w:t>5G</w:t>
      </w:r>
      <w:r>
        <w:rPr>
          <w:rFonts w:ascii="Times New Roman" w:hAnsi="Times New Roman" w:eastAsia="宋体"/>
          <w:b w:val="false"/>
          <w:sz w:val="21"/>
        </w:rPr>
        <w:t>信号并非始终最高，但注意力机制生成的动态权重综合了时延、吞吐量和丢包率等多维指标后仍然选择</w:t>
      </w:r>
      <w:r>
        <w:rPr>
          <w:rFonts w:eastAsia="宋体" w:ascii="Times New Roman" w:hAnsi="Times New Roman"/>
          <w:b w:val="false"/>
          <w:sz w:val="21"/>
        </w:rPr>
        <w:t>5G</w:t>
      </w:r>
      <w:r>
        <w:rPr>
          <w:rFonts w:ascii="Times New Roman" w:hAnsi="Times New Roman" w:eastAsia="宋体"/>
          <w:b w:val="false"/>
          <w:sz w:val="21"/>
        </w:rPr>
        <w:t>，体现了多属性融合决策的优势。相比之下，</w:t>
      </w:r>
      <w:r>
        <w:rPr>
          <w:rFonts w:eastAsia="宋体" w:ascii="Times New Roman" w:hAnsi="Times New Roman"/>
          <w:b w:val="false"/>
          <w:sz w:val="21"/>
        </w:rPr>
        <w:t>TOPSIS-Q</w:t>
      </w:r>
      <w:r>
        <w:rPr>
          <w:rFonts w:ascii="Times New Roman" w:hAnsi="Times New Roman" w:eastAsia="宋体"/>
          <w:b w:val="false"/>
          <w:sz w:val="21"/>
        </w:rPr>
        <w:t>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WiFi</w:t>
      </w:r>
      <w:r>
        <w:rPr>
          <w:rFonts w:ascii="Times New Roman" w:hAnsi="Times New Roman" w:eastAsia="宋体"/>
          <w:b w:val="false"/>
          <w:sz w:val="21"/>
        </w:rPr>
        <w:t>贴近度接近时发生了数次切换，</w:t>
      </w:r>
      <w:r>
        <w:rPr>
          <w:rFonts w:eastAsia="宋体" w:ascii="Times New Roman" w:hAnsi="Times New Roman"/>
          <w:b w:val="false"/>
          <w:sz w:val="21"/>
        </w:rPr>
        <w:t>Fuzzy-VHO</w:t>
      </w:r>
      <w:r>
        <w:rPr>
          <w:rFonts w:ascii="Times New Roman" w:hAnsi="Times New Roman" w:eastAsia="宋体"/>
          <w:b w:val="false"/>
          <w:sz w:val="21"/>
        </w:rPr>
        <w:t>因模糊规则对</w:t>
      </w:r>
      <w:r>
        <w:rPr>
          <w:rFonts w:eastAsia="宋体" w:ascii="Times New Roman" w:hAnsi="Times New Roman"/>
          <w:b w:val="false"/>
          <w:sz w:val="21"/>
        </w:rPr>
        <w:t>SINR</w:t>
      </w:r>
      <w:r>
        <w:rPr>
          <w:rFonts w:ascii="Times New Roman" w:hAnsi="Times New Roman" w:eastAsia="宋体"/>
          <w:b w:val="false"/>
          <w:sz w:val="21"/>
        </w:rPr>
        <w:t>波动敏感而产生多次切换——这直观展示了时序预测和动态权重对决策稳定性的关键贡献。</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jc w:val="center"/>
        <w:rPr/>
      </w:pPr>
      <w:r>
        <w:rPr/>
        <w:drawing>
          <wp:inline distT="0" distB="0" distL="0" distR="0">
            <wp:extent cx="5029200" cy="284988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29200" cy="2849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LAAVHA/TOPSIS-Q/Fuzzy-VHO</w:t>
      </w:r>
      <w:r>
        <w:rPr>
          <w:rFonts w:ascii="Times New Roman" w:hAnsi="Times New Roman" w:eastAsia="宋体"/>
          <w:b w:val="false"/>
          <w:sz w:val="18"/>
        </w:rPr>
        <w:t>候选网络评分与</w:t>
      </w:r>
      <w:r>
        <w:rPr>
          <w:rFonts w:eastAsia="宋体" w:ascii="Times New Roman" w:hAnsi="Times New Roman"/>
          <w:b w:val="false"/>
          <w:sz w:val="18"/>
        </w:rPr>
        <w:t>SINR</w:t>
      </w:r>
      <w:r>
        <w:rPr>
          <w:rFonts w:ascii="Times New Roman" w:hAnsi="Times New Roman" w:eastAsia="宋体"/>
          <w:b w:val="false"/>
          <w:sz w:val="18"/>
        </w:rPr>
        <w:t>时序对比（</w:t>
      </w:r>
      <w:r>
        <w:rPr>
          <w:rFonts w:eastAsia="宋体" w:ascii="Times New Roman" w:hAnsi="Times New Roman"/>
          <w:b w:val="false"/>
          <w:sz w:val="18"/>
        </w:rPr>
        <w:t>seed=200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）和仿真参数下运行。图</w:t>
      </w:r>
      <w:r>
        <w:rPr>
          <w:rFonts w:eastAsia="宋体" w:ascii="Times New Roman" w:hAnsi="Times New Roman"/>
          <w:b w:val="false"/>
          <w:sz w:val="21"/>
        </w:rPr>
        <w:t>4</w:t>
      </w:r>
      <w:r>
        <w:rPr>
          <w:rFonts w:ascii="Times New Roman" w:hAnsi="Times New Roman" w:eastAsia="宋体"/>
          <w:b w:val="false"/>
          <w:sz w:val="21"/>
        </w:rPr>
        <w:t>以散点叠加柱状图的形式展示了三种方案的切换次数对比——每个散点代表一次独立运行的结果，柱高为均值，误差线为</w:t>
      </w:r>
      <w:r>
        <w:rPr>
          <w:rFonts w:eastAsia="宋体" w:ascii="Times New Roman" w:hAnsi="Times New Roman"/>
          <w:b w:val="false"/>
          <w:sz w:val="21"/>
        </w:rPr>
        <w:t>±1</w:t>
      </w:r>
      <w:r>
        <w:rPr>
          <w:rFonts w:ascii="Times New Roman" w:hAnsi="Times New Roman" w:eastAsia="宋体"/>
          <w:b w:val="false"/>
          <w:sz w:val="21"/>
        </w:rPr>
        <w:t>标准差。完整</w:t>
      </w:r>
      <w:r>
        <w:rPr>
          <w:rFonts w:eastAsia="宋体" w:ascii="Times New Roman" w:hAnsi="Times New Roman"/>
          <w:b w:val="false"/>
          <w:sz w:val="21"/>
        </w:rPr>
        <w:t>LAAVHA</w:t>
      </w:r>
      <w:r>
        <w:rPr>
          <w:rFonts w:ascii="Times New Roman" w:hAnsi="Times New Roman" w:eastAsia="宋体"/>
          <w:b w:val="false"/>
          <w:sz w:val="21"/>
        </w:rPr>
        <w:t>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w:t>
      </w:r>
      <w:r>
        <w:rPr>
          <w:rFonts w:eastAsia="宋体" w:ascii="Times New Roman" w:hAnsi="Times New Roman"/>
          <w:b w:val="false"/>
          <w:sz w:val="21"/>
        </w:rPr>
        <w:t>50</w:t>
      </w:r>
      <w:r>
        <w:rPr>
          <w:rFonts w:ascii="Times New Roman" w:hAnsi="Times New Roman" w:eastAsia="宋体"/>
          <w:b w:val="false"/>
          <w:sz w:val="21"/>
        </w:rPr>
        <w:t>次运行中</w:t>
      </w:r>
      <w:r>
        <w:rPr>
          <w:rFonts w:eastAsia="宋体" w:ascii="Times New Roman" w:hAnsi="Times New Roman"/>
          <w:b w:val="false"/>
          <w:sz w:val="21"/>
        </w:rPr>
        <w:t>38</w:t>
      </w:r>
      <w:r>
        <w:rPr>
          <w:rFonts w:ascii="Times New Roman" w:hAnsi="Times New Roman" w:eastAsia="宋体"/>
          <w:b w:val="false"/>
          <w:sz w:val="21"/>
        </w:rPr>
        <w:t>次保持零切换、</w:t>
      </w:r>
      <w:r>
        <w:rPr>
          <w:rFonts w:eastAsia="宋体" w:ascii="Times New Roman" w:hAnsi="Times New Roman"/>
          <w:b w:val="false"/>
          <w:sz w:val="21"/>
        </w:rPr>
        <w:t>12</w:t>
      </w:r>
      <w:r>
        <w:rPr>
          <w:rFonts w:ascii="Times New Roman" w:hAnsi="Times New Roman" w:eastAsia="宋体"/>
          <w:b w:val="false"/>
          <w:sz w:val="21"/>
        </w:rPr>
        <w:t>次出现</w:t>
      </w:r>
      <w:r>
        <w:rPr>
          <w:rFonts w:eastAsia="宋体" w:ascii="Times New Roman" w:hAnsi="Times New Roman"/>
          <w:b w:val="false"/>
          <w:sz w:val="21"/>
        </w:rPr>
        <w:t>1</w:t>
      </w:r>
      <w:r>
        <w:rPr>
          <w:rFonts w:ascii="Times New Roman" w:hAnsi="Times New Roman" w:eastAsia="宋体"/>
          <w:b w:val="false"/>
          <w:sz w:val="21"/>
        </w:rPr>
        <w:t>次切换，体现了</w:t>
      </w:r>
      <w:r>
        <w:rPr>
          <w:rFonts w:eastAsia="宋体" w:ascii="Times New Roman" w:hAnsi="Times New Roman"/>
          <w:b w:val="false"/>
          <w:sz w:val="21"/>
        </w:rPr>
        <w:t>LSTM</w:t>
      </w:r>
      <w:r>
        <w:rPr>
          <w:rFonts w:ascii="Times New Roman" w:hAnsi="Times New Roman" w:eastAsia="宋体"/>
          <w:b w:val="false"/>
          <w:sz w:val="21"/>
        </w:rPr>
        <w:t>预测与注意力动态权重协同工作的决策稳定性；</w:t>
      </w:r>
      <w:r>
        <w:rPr>
          <w:rFonts w:eastAsia="宋体" w:ascii="Times New Roman" w:hAnsi="Times New Roman"/>
          <w:b w:val="false"/>
          <w:sz w:val="21"/>
        </w:rPr>
        <w:t>LAAVHA-L</w:t>
      </w:r>
      <w:r>
        <w:rPr>
          <w:rFonts w:ascii="Times New Roman" w:hAnsi="Times New Roman" w:eastAsia="宋体"/>
          <w:b w:val="false"/>
          <w:sz w:val="21"/>
        </w:rPr>
        <w:t>（去</w:t>
      </w:r>
      <w:r>
        <w:rPr>
          <w:rFonts w:eastAsia="宋体" w:ascii="Times New Roman" w:hAnsi="Times New Roman"/>
          <w:b w:val="false"/>
          <w:sz w:val="21"/>
        </w:rPr>
        <w:t>LSTM</w:t>
      </w:r>
      <w:r>
        <w:rPr>
          <w:rFonts w:ascii="Times New Roman" w:hAnsi="Times New Roman" w:eastAsia="宋体"/>
          <w:b w:val="false"/>
          <w:sz w:val="21"/>
        </w:rPr>
        <w:t>）平均切换</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std=1.01</w:t>
      </w:r>
      <w:r>
        <w:rPr>
          <w:rFonts w:ascii="Times New Roman" w:hAnsi="Times New Roman" w:eastAsia="宋体"/>
          <w:b w:val="false"/>
          <w:sz w:val="21"/>
        </w:rPr>
        <w:t>），失去时序预测后算法退化为被动反应式决策，切换次数显著升高且方差增大；</w:t>
      </w:r>
      <w:r>
        <w:rPr>
          <w:rFonts w:eastAsia="宋体" w:ascii="Times New Roman" w:hAnsi="Times New Roman"/>
          <w:b w:val="false"/>
          <w:sz w:val="21"/>
        </w:rPr>
        <w:t>LAAVHA-A</w:t>
      </w:r>
      <w:r>
        <w:rPr>
          <w:rFonts w:ascii="Times New Roman" w:hAnsi="Times New Roman" w:eastAsia="宋体"/>
          <w:b w:val="false"/>
          <w:sz w:val="21"/>
        </w:rPr>
        <w:t>（去注意力）平均切换</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std=0.00</w:t>
      </w:r>
      <w:r>
        <w:rPr>
          <w:rFonts w:ascii="Times New Roman" w:hAnsi="Times New Roman" w:eastAsia="宋体"/>
          <w:b w:val="false"/>
          <w:sz w:val="21"/>
        </w:rPr>
        <w:t>），全部</w:t>
      </w:r>
      <w:r>
        <w:rPr>
          <w:rFonts w:eastAsia="宋体" w:ascii="Times New Roman" w:hAnsi="Times New Roman"/>
          <w:b w:val="false"/>
          <w:sz w:val="21"/>
        </w:rPr>
        <w:t>50</w:t>
      </w:r>
      <w:r>
        <w:rPr>
          <w:rFonts w:ascii="Times New Roman" w:hAnsi="Times New Roman" w:eastAsia="宋体"/>
          <w:b w:val="false"/>
          <w:sz w:val="21"/>
        </w:rPr>
        <w:t>次运行均产生</w:t>
      </w:r>
      <w:r>
        <w:rPr>
          <w:rFonts w:eastAsia="宋体" w:ascii="Times New Roman" w:hAnsi="Times New Roman"/>
          <w:b w:val="false"/>
          <w:sz w:val="21"/>
        </w:rPr>
        <w:t>2</w:t>
      </w:r>
      <w:r>
        <w:rPr>
          <w:rFonts w:ascii="Times New Roman" w:hAnsi="Times New Roman" w:eastAsia="宋体"/>
          <w:b w:val="false"/>
          <w:sz w:val="21"/>
        </w:rPr>
        <w:t>次切换，说明等权重无法根据飞行阶段自适应调整评价标准，在</w:t>
      </w:r>
      <w:r>
        <w:rPr>
          <w:rFonts w:eastAsia="宋体" w:ascii="Times New Roman" w:hAnsi="Times New Roman"/>
          <w:b w:val="false"/>
          <w:sz w:val="21"/>
        </w:rPr>
        <w:t>WiFi</w:t>
      </w:r>
      <w:r>
        <w:rPr>
          <w:rFonts w:ascii="Times New Roman" w:hAnsi="Times New Roman" w:eastAsia="宋体"/>
          <w:b w:val="false"/>
          <w:sz w:val="21"/>
        </w:rPr>
        <w:t>覆盖边缘必然触发乒乓。</w:t>
      </w:r>
    </w:p>
    <w:p>
      <w:pPr>
        <w:pStyle w:val="Normal"/>
        <w:jc w:val="center"/>
        <w:rPr/>
      </w:pPr>
      <w:r>
        <w:rPr/>
        <w:drawing>
          <wp:inline distT="0" distB="0" distL="0" distR="0">
            <wp:extent cx="4572000" cy="3117215"/>
            <wp:effectExtent l="0" t="0" r="0" b="0"/>
            <wp:docPr id="3"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
                    <pic:cNvPicPr>
                      <a:picLocks noChangeAspect="1" noChangeArrowheads="1"/>
                    </pic:cNvPicPr>
                  </pic:nvPicPr>
                  <pic:blipFill>
                    <a:blip r:embed="rId4"/>
                    <a:stretch>
                      <a:fillRect/>
                    </a:stretch>
                  </pic:blipFill>
                  <pic:spPr bwMode="auto">
                    <a:xfrm>
                      <a:off x="0" y="0"/>
                      <a:ext cx="4572000" cy="311721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上述消融结果表明，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决策质量的贡献具有显著的协同效应——单独保留任一模块均无法维持低切换水平。注意力模块的缺失影响最为严重（平均切换从</w:t>
      </w:r>
      <w:r>
        <w:rPr>
          <w:rFonts w:eastAsia="宋体" w:ascii="Times New Roman" w:hAnsi="Times New Roman"/>
          <w:b w:val="false"/>
          <w:sz w:val="21"/>
        </w:rPr>
        <w:t>0.24</w:t>
      </w:r>
      <w:r>
        <w:rPr>
          <w:rFonts w:ascii="Times New Roman" w:hAnsi="Times New Roman" w:eastAsia="宋体"/>
          <w:b w:val="false"/>
          <w:sz w:val="21"/>
        </w:rPr>
        <w:t>次增至</w:t>
      </w:r>
      <w:r>
        <w:rPr>
          <w:rFonts w:eastAsia="宋体" w:ascii="Times New Roman" w:hAnsi="Times New Roman"/>
          <w:b w:val="false"/>
          <w:sz w:val="21"/>
        </w:rPr>
        <w:t>2.00</w:t>
      </w:r>
      <w:r>
        <w:rPr>
          <w:rFonts w:ascii="Times New Roman" w:hAnsi="Times New Roman" w:eastAsia="宋体"/>
          <w:b w:val="false"/>
          <w:sz w:val="21"/>
        </w:rPr>
        <w:t>次，增幅达</w:t>
      </w:r>
      <w:r>
        <w:rPr>
          <w:rFonts w:eastAsia="宋体" w:ascii="Times New Roman" w:hAnsi="Times New Roman"/>
          <w:b w:val="false"/>
          <w:sz w:val="21"/>
        </w:rPr>
        <w:t>8</w:t>
      </w:r>
      <w:r>
        <w:rPr>
          <w:rFonts w:ascii="Times New Roman" w:hAnsi="Times New Roman" w:eastAsia="宋体"/>
          <w:b w:val="false"/>
          <w:sz w:val="21"/>
        </w:rPr>
        <w:t>倍，且</w:t>
      </w:r>
      <w:r>
        <w:rPr>
          <w:rFonts w:eastAsia="宋体" w:ascii="Times New Roman" w:hAnsi="Times New Roman"/>
          <w:b w:val="false"/>
          <w:sz w:val="21"/>
        </w:rPr>
        <w:t>50</w:t>
      </w:r>
      <w:r>
        <w:rPr>
          <w:rFonts w:ascii="Times New Roman" w:hAnsi="Times New Roman" w:eastAsia="宋体"/>
          <w:b w:val="false"/>
          <w:sz w:val="21"/>
        </w:rPr>
        <w:t>次运行无一例外），说明在遥感巡航场景下动态权重调节对区分不同飞行阶段的网络需求具有不可替代的作用；</w:t>
      </w:r>
      <w:r>
        <w:rPr>
          <w:rFonts w:eastAsia="宋体" w:ascii="Times New Roman" w:hAnsi="Times New Roman"/>
          <w:b w:val="false"/>
          <w:sz w:val="21"/>
        </w:rPr>
        <w:t>LSTM</w:t>
      </w:r>
      <w:r>
        <w:rPr>
          <w:rFonts w:ascii="Times New Roman" w:hAnsi="Times New Roman" w:eastAsia="宋体"/>
          <w:b w:val="false"/>
          <w:sz w:val="21"/>
        </w:rPr>
        <w:t>模块的缺失导致切换次数上升至</w:t>
      </w:r>
      <w:r>
        <w:rPr>
          <w:rFonts w:eastAsia="宋体" w:ascii="Times New Roman" w:hAnsi="Times New Roman"/>
          <w:b w:val="false"/>
          <w:sz w:val="21"/>
        </w:rPr>
        <w:t>1.08</w:t>
      </w:r>
      <w:r>
        <w:rPr>
          <w:rFonts w:ascii="Times New Roman" w:hAnsi="Times New Roman" w:eastAsia="宋体"/>
          <w:b w:val="false"/>
          <w:sz w:val="21"/>
        </w:rPr>
        <w:t>次且方差增大（</w:t>
      </w:r>
      <w:r>
        <w:rPr>
          <w:rFonts w:eastAsia="宋体" w:ascii="Times New Roman" w:hAnsi="Times New Roman"/>
          <w:b w:val="false"/>
          <w:sz w:val="21"/>
        </w:rPr>
        <w:t>std=1.01</w:t>
      </w:r>
      <w:r>
        <w:rPr>
          <w:rFonts w:ascii="Times New Roman" w:hAnsi="Times New Roman" w:eastAsia="宋体"/>
          <w:b w:val="false"/>
          <w:sz w:val="21"/>
        </w:rPr>
        <w:t>），说明时序预测能力对维持决策稳定性同样关键。两个模块的消融结果从正反两面共同验证了</w:t>
      </w:r>
      <w:r>
        <w:rPr>
          <w:rFonts w:eastAsia="宋体" w:ascii="Times New Roman" w:hAnsi="Times New Roman"/>
          <w:b w:val="false"/>
          <w:sz w:val="21"/>
        </w:rPr>
        <w:t>LAAVHA</w:t>
      </w:r>
      <w:r>
        <w:rPr>
          <w:rFonts w:ascii="Times New Roman" w:hAnsi="Times New Roman" w:eastAsia="宋体"/>
          <w:b w:val="false"/>
          <w:sz w:val="21"/>
        </w:rPr>
        <w:t>架构设计的合理性。</w:t>
      </w:r>
    </w:p>
    <w:p>
      <w:pPr>
        <w:pStyle w:val="Normal"/>
        <w:rPr/>
      </w:pPr>
      <w:r>
        <w:rPr/>
      </w:r>
    </w:p>
    <w:p>
      <w:pPr>
        <w:pStyle w:val="Normal"/>
        <w:ind w:hanging="0"/>
        <w:jc w:val="both"/>
        <w:rPr/>
      </w:pPr>
      <w:r>
        <w:rPr>
          <w:rFonts w:eastAsia="宋体" w:ascii="Times New Roman" w:hAnsi="Times New Roman"/>
          <w:b/>
          <w:bCs/>
          <w:sz w:val="22"/>
          <w:szCs w:val="22"/>
        </w:rPr>
        <w:t xml:space="preserve">3.5 </w:t>
      </w:r>
      <w:r>
        <w:rPr>
          <w:rFonts w:ascii="Times New Roman" w:hAnsi="Times New Roman" w:eastAsia="宋体"/>
          <w:b/>
          <w:bCs/>
          <w:sz w:val="22"/>
          <w:szCs w:val="22"/>
        </w:rPr>
        <w:t>增强机制验证</w:t>
      </w:r>
      <w:r>
        <w:rPr>
          <w:rFonts w:eastAsia="宋体" w:ascii="Times New Roman" w:hAnsi="Times New Roman"/>
          <w:b w:val="false"/>
          <w:sz w:val="21"/>
        </w:rPr>
        <w:br/>
      </w:r>
      <w:r>
        <w:rPr>
          <w:rFonts w:ascii="Times New Roman" w:hAnsi="Times New Roman" w:eastAsia="宋体"/>
          <w:b w:val="false"/>
          <w:sz w:val="21"/>
        </w:rPr>
        <w:t>为验证自适应滞后机制对信道波动的响应能力，构造了</w:t>
      </w:r>
      <w:r>
        <w:rPr>
          <w:rFonts w:eastAsia="宋体" w:ascii="Times New Roman" w:hAnsi="Times New Roman"/>
          <w:b w:val="false"/>
          <w:sz w:val="21"/>
        </w:rPr>
        <w:t>5G</w:t>
      </w:r>
      <w:r>
        <w:rPr>
          <w:rFonts w:ascii="Times New Roman" w:hAnsi="Times New Roman" w:eastAsia="宋体"/>
          <w:b w:val="false"/>
          <w:sz w:val="21"/>
        </w:rPr>
        <w:t>信道振荡压力场景：在</w:t>
      </w:r>
      <w:r>
        <w:rPr>
          <w:rFonts w:eastAsia="宋体" w:ascii="Times New Roman" w:hAnsi="Times New Roman"/>
          <w:b w:val="false"/>
          <w:sz w:val="21"/>
        </w:rPr>
        <w:t>t=3-6s</w:t>
      </w:r>
      <w:r>
        <w:rPr>
          <w:rFonts w:ascii="Times New Roman" w:hAnsi="Times New Roman" w:eastAsia="宋体"/>
          <w:b w:val="false"/>
          <w:sz w:val="21"/>
        </w:rPr>
        <w:t>内对</w:t>
      </w:r>
      <w:r>
        <w:rPr>
          <w:rFonts w:eastAsia="宋体" w:ascii="Times New Roman" w:hAnsi="Times New Roman"/>
          <w:b w:val="false"/>
          <w:sz w:val="21"/>
        </w:rPr>
        <w:t>5G</w:t>
      </w:r>
      <w:r>
        <w:rPr>
          <w:rFonts w:ascii="Times New Roman" w:hAnsi="Times New Roman" w:eastAsia="宋体"/>
          <w:b w:val="false"/>
          <w:sz w:val="21"/>
        </w:rPr>
        <w:t>的</w:t>
      </w:r>
      <w:r>
        <w:rPr>
          <w:rFonts w:eastAsia="宋体" w:ascii="Times New Roman" w:hAnsi="Times New Roman"/>
          <w:b w:val="false"/>
          <w:sz w:val="21"/>
        </w:rPr>
        <w:t>SINR</w:t>
      </w:r>
      <w:r>
        <w:rPr>
          <w:rFonts w:ascii="Times New Roman" w:hAnsi="Times New Roman" w:eastAsia="宋体"/>
          <w:b w:val="false"/>
          <w:sz w:val="21"/>
        </w:rPr>
        <w:t>施加</w:t>
      </w:r>
      <w:r>
        <w:rPr>
          <w:rFonts w:eastAsia="宋体" w:ascii="Times New Roman" w:hAnsi="Times New Roman"/>
          <w:b w:val="false"/>
          <w:sz w:val="21"/>
        </w:rPr>
        <w:t>±15dB</w:t>
      </w:r>
      <w:r>
        <w:rPr>
          <w:rFonts w:ascii="Times New Roman" w:hAnsi="Times New Roman" w:eastAsia="宋体"/>
          <w:b w:val="false"/>
          <w:sz w:val="21"/>
        </w:rPr>
        <w:t>正弦振荡并同步注入时延</w:t>
      </w:r>
      <w:r>
        <w:rPr>
          <w:rFonts w:eastAsia="宋体" w:ascii="Times New Roman" w:hAnsi="Times New Roman"/>
          <w:b w:val="false"/>
          <w:sz w:val="21"/>
        </w:rPr>
        <w:t>/</w:t>
      </w:r>
      <w:r>
        <w:rPr>
          <w:rFonts w:ascii="Times New Roman" w:hAnsi="Times New Roman" w:eastAsia="宋体"/>
          <w:b w:val="false"/>
          <w:sz w:val="21"/>
        </w:rPr>
        <w:t>丢包率干扰，同时提升</w:t>
      </w:r>
      <w:r>
        <w:rPr>
          <w:rFonts w:eastAsia="宋体" w:ascii="Times New Roman" w:hAnsi="Times New Roman"/>
          <w:b w:val="false"/>
          <w:sz w:val="21"/>
        </w:rPr>
        <w:t>WiFi</w:t>
      </w:r>
      <w:r>
        <w:rPr>
          <w:rFonts w:ascii="Times New Roman" w:hAnsi="Times New Roman" w:eastAsia="宋体"/>
          <w:b w:val="false"/>
          <w:sz w:val="21"/>
        </w:rPr>
        <w:t>信号强度（</w:t>
      </w:r>
      <w:r>
        <w:rPr>
          <w:rFonts w:eastAsia="宋体" w:ascii="Times New Roman" w:hAnsi="Times New Roman"/>
          <w:b w:val="false"/>
          <w:sz w:val="21"/>
        </w:rPr>
        <w:t>+8 dB</w:t>
      </w:r>
      <w:r>
        <w:rPr>
          <w:rFonts w:ascii="Times New Roman" w:hAnsi="Times New Roman" w:eastAsia="宋体"/>
          <w:b w:val="false"/>
          <w:sz w:val="21"/>
        </w:rPr>
        <w:t>），模拟无人机飞入信道剧烈波动区域的极端情况。图</w:t>
      </w:r>
      <w:r>
        <w:rPr>
          <w:rFonts w:eastAsia="宋体" w:ascii="Times New Roman" w:hAnsi="Times New Roman"/>
          <w:b w:val="false"/>
          <w:sz w:val="21"/>
        </w:rPr>
        <w:t>5</w:t>
      </w:r>
      <w:r>
        <w:rPr>
          <w:rFonts w:ascii="Times New Roman" w:hAnsi="Times New Roman" w:eastAsia="宋体"/>
          <w:b w:val="false"/>
          <w:sz w:val="21"/>
        </w:rPr>
        <w:t>给出了该场景下两个版本的对比结果。</w:t>
      </w:r>
    </w:p>
    <w:p>
      <w:pPr>
        <w:pStyle w:val="Normal"/>
        <w:ind w:firstLine="420"/>
        <w:jc w:val="both"/>
        <w:rPr/>
      </w:pPr>
      <w:r>
        <w:rPr/>
        <w:t>构造网络</w:t>
      </w:r>
      <w:r>
        <w:rPr/>
        <w:t>A</w:t>
      </w:r>
      <w:r>
        <w:rPr/>
        <w:t>（类比</w:t>
      </w:r>
      <w:r>
        <w:rPr/>
        <w:t>5G</w:t>
      </w:r>
      <w:r>
        <w:rPr/>
        <w:t>）与网络</w:t>
      </w:r>
      <w:r>
        <w:rPr/>
        <w:t>B</w:t>
      </w:r>
      <w:r>
        <w:rPr/>
        <w:t>（类比</w:t>
      </w:r>
      <w:r>
        <w:rPr/>
        <w:t>WiFi</w:t>
      </w:r>
      <w:r>
        <w:rPr/>
        <w:t>）贴近度在</w:t>
      </w:r>
      <w:r>
        <w:rPr/>
        <w:t>0.50</w:t>
      </w:r>
      <w:r>
        <w:rPr/>
        <w:t>附近拉锯的竞争场景：初始状态为接入网络</w:t>
      </w:r>
      <w:r>
        <w:rPr/>
        <w:t>A</w:t>
      </w:r>
      <w:r>
        <w:rPr/>
        <w:t>。</w:t>
      </w:r>
      <w:r>
        <w:rPr/>
        <w:t>Zone 1</w:t>
      </w:r>
      <w:r>
        <w:rPr/>
        <w:t>（</w:t>
      </w:r>
      <w:r>
        <w:rPr/>
        <w:t>t=5~8s</w:t>
      </w:r>
      <w:r>
        <w:rPr/>
        <w:t>）网络</w:t>
      </w:r>
      <w:r>
        <w:rPr/>
        <w:t>A</w:t>
      </w:r>
      <w:r>
        <w:rPr/>
        <w:t>持续劣化（从</w:t>
      </w:r>
      <w:r>
        <w:rPr/>
        <w:t>0.53</w:t>
      </w:r>
      <w:r>
        <w:rPr/>
        <w:t>降至</w:t>
      </w:r>
      <w:r>
        <w:rPr/>
        <w:t>0.43</w:t>
      </w:r>
      <w:r>
        <w:rPr/>
        <w:t>）、网络</w:t>
      </w:r>
      <w:r>
        <w:rPr/>
        <w:t>B</w:t>
      </w:r>
      <w:r>
        <w:rPr/>
        <w:t>稳步上升（从</w:t>
      </w:r>
      <w:r>
        <w:rPr/>
        <w:t>0.50</w:t>
      </w:r>
      <w:r>
        <w:rPr/>
        <w:t>升至</w:t>
      </w:r>
      <w:r>
        <w:rPr/>
        <w:t>0.57</w:t>
      </w:r>
      <w:r>
        <w:rPr/>
        <w:t>），</w:t>
      </w:r>
      <w:r>
        <w:rPr/>
        <w:t>A→B</w:t>
      </w:r>
      <w:r>
        <w:rPr/>
        <w:t>的切换是正确决策；</w:t>
      </w:r>
      <w:r>
        <w:rPr/>
        <w:t>Zone 2</w:t>
      </w:r>
      <w:r>
        <w:rPr/>
        <w:t>（</w:t>
      </w:r>
      <w:r>
        <w:rPr/>
        <w:t>t=12~15s</w:t>
      </w:r>
      <w:r>
        <w:rPr/>
        <w:t>）网络</w:t>
      </w:r>
      <w:r>
        <w:rPr/>
        <w:t>B</w:t>
      </w:r>
      <w:r>
        <w:rPr/>
        <w:t>被注入</w:t>
      </w:r>
      <w:r>
        <w:rPr/>
        <w:t>±0.16</w:t>
      </w:r>
      <w:r>
        <w:rPr/>
        <w:t>振幅正弦振荡和高斯噪声，贴近度剧烈抖动但无真实退化，不应触发任何切换。图</w:t>
      </w:r>
      <w:r>
        <w:rPr/>
        <w:t>5</w:t>
      </w:r>
      <w:r>
        <w:rPr/>
        <w:t>第</w:t>
      </w:r>
      <w:r>
        <w:rPr/>
        <w:t>1</w:t>
      </w:r>
      <w:r>
        <w:rPr/>
        <w:t>行展示两个网络的原始贴近度曲线，蓝色和红色底色分别标注</w:t>
      </w:r>
      <w:r>
        <w:rPr/>
        <w:t>Zone 1</w:t>
      </w:r>
      <w:r>
        <w:rPr/>
        <w:t>和</w:t>
      </w:r>
      <w:r>
        <w:rPr/>
        <w:t>Zone 2</w:t>
      </w:r>
      <w:r>
        <w:rPr/>
        <w:t>。第</w:t>
      </w:r>
      <w:r>
        <w:rPr/>
        <w:t>2</w:t>
      </w:r>
      <w:r>
        <w:rPr/>
        <w:t>行：固定低阈值（</w:t>
      </w:r>
      <w:r>
        <w:rPr/>
        <w:t>Δ_th=0.03</w:t>
      </w:r>
      <w:r>
        <w:rPr/>
        <w:t>）方案共触发</w:t>
      </w:r>
      <w:r>
        <w:rPr/>
        <w:t>4</w:t>
      </w:r>
      <w:r>
        <w:rPr/>
        <w:t>次切换——</w:t>
      </w:r>
      <w:r>
        <w:rPr/>
        <w:t>t=6.6s A→B</w:t>
      </w:r>
      <w:r>
        <w:rPr/>
        <w:t>（</w:t>
      </w:r>
      <w:r>
        <w:rPr/>
        <w:t>Zone 1</w:t>
      </w:r>
      <w:r>
        <w:rPr/>
        <w:t>，正确），</w:t>
      </w:r>
      <w:r>
        <w:rPr/>
        <w:t>t=11.9s B→A</w:t>
      </w:r>
      <w:r>
        <w:rPr/>
        <w:t>（恢复，正确），</w:t>
      </w:r>
      <w:r>
        <w:rPr/>
        <w:t>t=14.8s A→B</w:t>
      </w:r>
      <w:r>
        <w:rPr/>
        <w:t>（</w:t>
      </w:r>
      <w:r>
        <w:rPr/>
        <w:t>Zone 2</w:t>
      </w:r>
      <w:r>
        <w:rPr/>
        <w:t>，误切换——网络</w:t>
      </w:r>
      <w:r>
        <w:rPr/>
        <w:t>B</w:t>
      </w:r>
      <w:r>
        <w:rPr/>
        <w:t>的瞬时峰值触发了切换），</w:t>
      </w:r>
      <w:r>
        <w:rPr/>
        <w:t>t=15.1s B→A</w:t>
      </w:r>
      <w:r>
        <w:rPr/>
        <w:t>（</w:t>
      </w:r>
      <w:r>
        <w:rPr/>
        <w:t>Zone 2</w:t>
      </w:r>
      <w:r>
        <w:rPr/>
        <w:t>，乒乓——网络</w:t>
      </w:r>
      <w:r>
        <w:rPr/>
        <w:t>B</w:t>
      </w:r>
      <w:r>
        <w:rPr/>
        <w:t>峰值回落后立即切回</w:t>
      </w:r>
      <w:r>
        <w:rPr/>
        <w:t>A</w:t>
      </w:r>
      <w:r>
        <w:rPr/>
        <w:t>），</w:t>
      </w:r>
      <w:r>
        <w:rPr/>
        <w:t>Zone 2</w:t>
      </w:r>
      <w:r>
        <w:rPr/>
        <w:t>内连续发生</w:t>
      </w:r>
      <w:r>
        <w:rPr/>
        <w:t>2</w:t>
      </w:r>
      <w:r>
        <w:rPr/>
        <w:t>次误切换形成乒乓。第</w:t>
      </w:r>
      <w:r>
        <w:rPr/>
        <w:t>3</w:t>
      </w:r>
      <w:r>
        <w:rPr/>
        <w:t>行：</w:t>
      </w:r>
      <w:r>
        <w:rPr/>
        <w:t>ALERA</w:t>
      </w:r>
      <w:r>
        <w:rPr/>
        <w:t>的</w:t>
      </w:r>
      <w:r>
        <w:rPr/>
        <w:t>LCB</w:t>
      </w:r>
      <w:r>
        <w:rPr/>
        <w:t>调整后评分曲线——风险罚分压低了网络</w:t>
      </w:r>
      <w:r>
        <w:rPr/>
        <w:t>B</w:t>
      </w:r>
      <w:r>
        <w:rPr/>
        <w:t>在</w:t>
      </w:r>
      <w:r>
        <w:rPr/>
        <w:t>Zone 2</w:t>
      </w:r>
      <w:r>
        <w:rPr/>
        <w:t>的评分、自适应阈值从</w:t>
      </w:r>
      <w:r>
        <w:rPr/>
        <w:t>0.03</w:t>
      </w:r>
      <w:r>
        <w:rPr/>
        <w:t>抬升至约</w:t>
      </w:r>
      <w:r>
        <w:rPr/>
        <w:t>0.09</w:t>
      </w:r>
      <w:r>
        <w:rPr/>
        <w:t>，双重机制协同作用下仅触发</w:t>
      </w:r>
      <w:r>
        <w:rPr/>
        <w:t>2</w:t>
      </w:r>
      <w:r>
        <w:rPr/>
        <w:t>次切换：</w:t>
      </w:r>
      <w:r>
        <w:rPr/>
        <w:t>t=6.5s A→B</w:t>
      </w:r>
      <w:r>
        <w:rPr/>
        <w:t>（</w:t>
      </w:r>
      <w:r>
        <w:rPr/>
        <w:t>Zone 1</w:t>
      </w:r>
      <w:r>
        <w:rPr/>
        <w:t>，正确），</w:t>
      </w:r>
      <w:r>
        <w:rPr/>
        <w:t>t=11.8s B→A</w:t>
      </w:r>
      <w:r>
        <w:rPr/>
        <w:t>（恢复，正确），</w:t>
      </w:r>
      <w:r>
        <w:rPr/>
        <w:t>Zone 2</w:t>
      </w:r>
      <w:r>
        <w:rPr/>
        <w:t>内零误触发。第</w:t>
      </w:r>
      <w:r>
        <w:rPr/>
        <w:t>4</w:t>
      </w:r>
      <w:r>
        <w:rPr/>
        <w:t>行：自适应阈值</w:t>
      </w:r>
      <w:r>
        <w:rPr/>
        <w:t>Δ_th</w:t>
      </w:r>
      <w:r>
        <w:rPr/>
        <w:t>随时间变化——</w:t>
      </w:r>
      <w:r>
        <w:rPr/>
        <w:t>Zone 2</w:t>
      </w:r>
      <w:r>
        <w:rPr/>
        <w:t>波动期间自动抬升至约</w:t>
      </w:r>
      <w:r>
        <w:rPr/>
        <w:t>0.09</w:t>
      </w:r>
      <w:r>
        <w:rPr/>
        <w:t>，远高于固定基线</w:t>
      </w:r>
      <w:r>
        <w:rPr/>
        <w:t>0.03</w:t>
      </w:r>
      <w:r>
        <w:rPr/>
        <w:t>，波动消退后平滑恢复至</w:t>
      </w:r>
      <w:r>
        <w:rPr/>
        <w:t>0.03</w:t>
      </w:r>
      <w:r>
        <w:rPr/>
        <w:t>。该实验清晰证明：两项增强机制在不牺牲平稳场景响应速度的前提下，自动检测信道波动并提升切换门槛，有效抑制瞬时异常触发的乒乓切换。两项机制分别决定"何时切换"与"切向谁"，在不改变模型结构的前提下为算法赋予信道波动感知能力。</w:t>
      </w:r>
    </w:p>
    <w:p>
      <w:pPr>
        <w:pStyle w:val="Normal"/>
        <w:jc w:val="center"/>
        <w:rPr/>
      </w:pPr>
      <w:r>
        <w:rPr/>
        <w:drawing>
          <wp:inline distT="0" distB="0" distL="0" distR="0">
            <wp:extent cx="5029200" cy="401764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029200" cy="401764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5 </w:t>
      </w:r>
      <w:r>
        <w:rPr>
          <w:rFonts w:ascii="Times New Roman" w:hAnsi="Times New Roman" w:eastAsia="宋体"/>
          <w:b w:val="false"/>
          <w:sz w:val="18"/>
        </w:rPr>
        <w:t>自适应滞后机制验证：固定低阈值</w:t>
      </w:r>
      <w:r>
        <w:rPr>
          <w:rFonts w:eastAsia="宋体" w:ascii="Times New Roman" w:hAnsi="Times New Roman"/>
          <w:b w:val="false"/>
          <w:sz w:val="18"/>
        </w:rPr>
        <w:t>(Δ_th=0.03)</w:t>
      </w:r>
      <w:r>
        <w:rPr>
          <w:rFonts w:ascii="Times New Roman" w:hAnsi="Times New Roman" w:eastAsia="宋体"/>
          <w:b w:val="false"/>
          <w:sz w:val="18"/>
        </w:rPr>
        <w:t>与</w:t>
      </w:r>
      <w:r>
        <w:rPr>
          <w:rFonts w:eastAsia="宋体" w:ascii="Times New Roman" w:hAnsi="Times New Roman"/>
          <w:b w:val="false"/>
          <w:sz w:val="18"/>
        </w:rPr>
        <w:t>ALERA</w:t>
      </w:r>
      <w:r>
        <w:rPr>
          <w:rFonts w:ascii="Times New Roman" w:hAnsi="Times New Roman" w:eastAsia="宋体"/>
          <w:b w:val="false"/>
          <w:sz w:val="18"/>
        </w:rPr>
        <w:t>在</w:t>
      </w:r>
      <w:r>
        <w:rPr>
          <w:rFonts w:eastAsia="宋体" w:ascii="Times New Roman" w:hAnsi="Times New Roman"/>
          <w:b w:val="false"/>
          <w:sz w:val="18"/>
        </w:rPr>
        <w:t>±20dB SINR</w:t>
      </w:r>
      <w:r>
        <w:rPr>
          <w:rFonts w:ascii="Times New Roman" w:hAnsi="Times New Roman" w:eastAsia="宋体"/>
          <w:b w:val="false"/>
          <w:sz w:val="18"/>
        </w:rPr>
        <w:t>振荡场景下的对比</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tbl>
      <w:tblPr>
        <w:tblStyle w:val="34"/>
        <w:tblW w:w="9524" w:type="dxa"/>
        <w:jc w:val="center"/>
        <w:tblInd w:w="0" w:type="dxa"/>
        <w:tblLayout w:type="fixed"/>
        <w:tblCellMar>
          <w:top w:w="0" w:type="dxa"/>
          <w:left w:w="108" w:type="dxa"/>
          <w:bottom w:w="0" w:type="dxa"/>
          <w:right w:w="108" w:type="dxa"/>
        </w:tblCellMar>
      </w:tblPr>
      <w:tblGrid>
        <w:gridCol w:w="2380"/>
        <w:gridCol w:w="2381"/>
        <w:gridCol w:w="2382"/>
        <w:gridCol w:w="2380"/>
      </w:tblGrid>
      <w:tr>
        <w:trPr/>
        <w:tc>
          <w:tcPr>
            <w:tcW w:w="2380" w:type="dxa"/>
            <w:tcBorders/>
          </w:tcPr>
          <w:p>
            <w:pPr>
              <w:pStyle w:val="Normal"/>
              <w:spacing w:before="0" w:after="100"/>
              <w:jc w:val="center"/>
              <w:rPr/>
            </w:pPr>
            <w:r>
              <w:rPr>
                <w:rFonts w:ascii="Times New Roman" w:hAnsi="Times New Roman" w:eastAsia="宋体"/>
                <w:b/>
                <w:sz w:val="18"/>
              </w:rPr>
              <w:t>方案</w:t>
            </w:r>
          </w:p>
        </w:tc>
        <w:tc>
          <w:tcPr>
            <w:tcW w:w="2381" w:type="dxa"/>
            <w:tcBorders/>
          </w:tcPr>
          <w:p>
            <w:pPr>
              <w:pStyle w:val="Normal"/>
              <w:spacing w:before="0" w:after="100"/>
              <w:jc w:val="center"/>
              <w:rPr/>
            </w:pPr>
            <w:r>
              <w:rPr>
                <w:rFonts w:ascii="Times New Roman" w:hAnsi="Times New Roman" w:eastAsia="宋体"/>
                <w:b/>
                <w:sz w:val="18"/>
              </w:rPr>
              <w:t>平均切换次数</w:t>
            </w:r>
          </w:p>
        </w:tc>
        <w:tc>
          <w:tcPr>
            <w:tcW w:w="2382" w:type="dxa"/>
            <w:tcBorders/>
          </w:tcPr>
          <w:p>
            <w:pPr>
              <w:pStyle w:val="Normal"/>
              <w:spacing w:before="0" w:after="100"/>
              <w:jc w:val="center"/>
              <w:rPr/>
            </w:pPr>
            <w:r>
              <w:rPr>
                <w:rFonts w:ascii="Times New Roman" w:hAnsi="Times New Roman" w:eastAsia="宋体"/>
                <w:b/>
                <w:sz w:val="18"/>
              </w:rPr>
              <w:t>标准差</w:t>
            </w:r>
          </w:p>
        </w:tc>
        <w:tc>
          <w:tcPr>
            <w:tcW w:w="2380" w:type="dxa"/>
            <w:tcBorders/>
          </w:tcPr>
          <w:p>
            <w:pPr>
              <w:pStyle w:val="Normal"/>
              <w:spacing w:before="0" w:after="100"/>
              <w:jc w:val="center"/>
              <w:rPr/>
            </w:pPr>
            <w:r>
              <w:rPr>
                <w:rFonts w:ascii="Times New Roman" w:hAnsi="Times New Roman" w:eastAsia="宋体"/>
                <w:b/>
                <w:sz w:val="18"/>
              </w:rPr>
              <w:t>最终接入网络</w:t>
            </w:r>
          </w:p>
        </w:tc>
      </w:tr>
      <w:tr>
        <w:trPr/>
        <w:tc>
          <w:tcPr>
            <w:tcW w:w="2380" w:type="dxa"/>
            <w:tcBorders/>
          </w:tcPr>
          <w:p>
            <w:pPr>
              <w:pStyle w:val="Normal"/>
              <w:spacing w:before="0" w:after="100"/>
              <w:jc w:val="center"/>
              <w:rPr/>
            </w:pPr>
            <w:r>
              <w:rPr>
                <w:rFonts w:eastAsia="宋体" w:ascii="Times New Roman" w:hAnsi="Times New Roman"/>
                <w:b w:val="false"/>
                <w:sz w:val="18"/>
              </w:rPr>
              <w:t>LAAVHA</w:t>
            </w:r>
          </w:p>
        </w:tc>
        <w:tc>
          <w:tcPr>
            <w:tcW w:w="2381" w:type="dxa"/>
            <w:tcBorders/>
          </w:tcPr>
          <w:p>
            <w:pPr>
              <w:pStyle w:val="Normal"/>
              <w:spacing w:before="0" w:after="100"/>
              <w:jc w:val="center"/>
              <w:rPr/>
            </w:pPr>
            <w:r>
              <w:rPr>
                <w:rFonts w:eastAsia="宋体" w:ascii="Times New Roman" w:hAnsi="Times New Roman"/>
                <w:b w:val="false"/>
                <w:sz w:val="18"/>
              </w:rPr>
              <w:t>0.24</w:t>
            </w:r>
          </w:p>
        </w:tc>
        <w:tc>
          <w:tcPr>
            <w:tcW w:w="2382" w:type="dxa"/>
            <w:tcBorders/>
          </w:tcPr>
          <w:p>
            <w:pPr>
              <w:pStyle w:val="Normal"/>
              <w:spacing w:before="0" w:after="100"/>
              <w:jc w:val="center"/>
              <w:rPr/>
            </w:pPr>
            <w:r>
              <w:rPr>
                <w:rFonts w:eastAsia="宋体" w:ascii="Times New Roman" w:hAnsi="Times New Roman"/>
                <w:b w:val="false"/>
                <w:sz w:val="18"/>
              </w:rPr>
              <w:t>0.43</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r>
        <w:trPr/>
        <w:tc>
          <w:tcPr>
            <w:tcW w:w="2380" w:type="dxa"/>
            <w:tcBorders/>
          </w:tcPr>
          <w:p>
            <w:pPr>
              <w:pStyle w:val="Normal"/>
              <w:spacing w:before="0" w:after="100"/>
              <w:jc w:val="center"/>
              <w:rPr/>
            </w:pPr>
            <w:r>
              <w:rPr>
                <w:rFonts w:eastAsia="宋体" w:ascii="Times New Roman" w:hAnsi="Times New Roman"/>
                <w:b w:val="false"/>
                <w:sz w:val="18"/>
              </w:rPr>
              <w:t>ALERA</w:t>
            </w:r>
          </w:p>
        </w:tc>
        <w:tc>
          <w:tcPr>
            <w:tcW w:w="2381" w:type="dxa"/>
            <w:tcBorders/>
          </w:tcPr>
          <w:p>
            <w:pPr>
              <w:pStyle w:val="Normal"/>
              <w:spacing w:before="0" w:after="100"/>
              <w:jc w:val="center"/>
              <w:rPr/>
            </w:pPr>
            <w:r>
              <w:rPr>
                <w:rFonts w:eastAsia="宋体" w:ascii="Times New Roman" w:hAnsi="Times New Roman"/>
                <w:b w:val="false"/>
                <w:sz w:val="18"/>
              </w:rPr>
              <w:t>0.22</w:t>
            </w:r>
          </w:p>
        </w:tc>
        <w:tc>
          <w:tcPr>
            <w:tcW w:w="2382" w:type="dxa"/>
            <w:tcBorders/>
          </w:tcPr>
          <w:p>
            <w:pPr>
              <w:pStyle w:val="Normal"/>
              <w:spacing w:before="0" w:after="100"/>
              <w:jc w:val="center"/>
              <w:rPr/>
            </w:pPr>
            <w:r>
              <w:rPr>
                <w:rFonts w:eastAsia="宋体" w:ascii="Times New Roman" w:hAnsi="Times New Roman"/>
                <w:b w:val="false"/>
                <w:sz w:val="18"/>
              </w:rPr>
              <w:t>0.42</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4 </w:t>
      </w:r>
      <w:r>
        <w:rPr>
          <w:rFonts w:ascii="Times New Roman" w:hAnsi="Times New Roman" w:eastAsia="黑体"/>
          <w:b w:val="false"/>
          <w:sz w:val="19"/>
        </w:rPr>
        <w:t>增强前后切换次数对比</w:t>
      </w:r>
    </w:p>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面向无人机遥感监测中广域飞行时的多网络切换需求，本文提出了基于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LAAVHA</w:t>
      </w:r>
      <w:r>
        <w:rPr>
          <w:rFonts w:ascii="Times New Roman" w:hAnsi="Times New Roman" w:eastAsia="宋体"/>
          <w:b w:val="false"/>
          <w:sz w:val="21"/>
        </w:rPr>
        <w:t>自适应垂直切换方法，并在此基础上引入了自适应滞后与风险敏感</w:t>
      </w:r>
      <w:r>
        <w:rPr>
          <w:rFonts w:eastAsia="宋体" w:ascii="Times New Roman" w:hAnsi="Times New Roman"/>
          <w:b w:val="false"/>
          <w:sz w:val="21"/>
        </w:rPr>
        <w:t>TOPSIS</w:t>
      </w:r>
      <w:r>
        <w:rPr>
          <w:rFonts w:ascii="Times New Roman" w:hAnsi="Times New Roman" w:eastAsia="宋体"/>
          <w:b w:val="false"/>
          <w:sz w:val="21"/>
        </w:rPr>
        <w:t>两项增强机制。该方法以</w:t>
      </w:r>
      <w:r>
        <w:rPr>
          <w:rFonts w:eastAsia="宋体" w:ascii="Times New Roman" w:hAnsi="Times New Roman"/>
          <w:b w:val="false"/>
          <w:sz w:val="21"/>
        </w:rPr>
        <w:t>"</w:t>
      </w:r>
      <w:r>
        <w:rPr>
          <w:rFonts w:ascii="Times New Roman" w:hAnsi="Times New Roman" w:eastAsia="宋体"/>
          <w:b w:val="false"/>
          <w:sz w:val="21"/>
        </w:rPr>
        <w:t>时序预测</w:t>
      </w:r>
      <w:r>
        <w:rPr>
          <w:rFonts w:eastAsia="宋体" w:ascii="Times New Roman" w:hAnsi="Times New Roman"/>
          <w:b w:val="false"/>
          <w:sz w:val="21"/>
        </w:rPr>
        <w:t>+</w:t>
      </w:r>
      <w:r>
        <w:rPr>
          <w:rFonts w:ascii="Times New Roman" w:hAnsi="Times New Roman" w:eastAsia="宋体"/>
          <w:b w:val="false"/>
          <w:sz w:val="21"/>
        </w:rPr>
        <w:t>动态权重</w:t>
      </w:r>
      <w:r>
        <w:rPr>
          <w:rFonts w:eastAsia="宋体" w:ascii="Times New Roman" w:hAnsi="Times New Roman"/>
          <w:b w:val="false"/>
          <w:sz w:val="21"/>
        </w:rPr>
        <w:t>+</w:t>
      </w:r>
      <w:r>
        <w:rPr>
          <w:rFonts w:ascii="Times New Roman" w:hAnsi="Times New Roman" w:eastAsia="宋体"/>
          <w:b w:val="false"/>
          <w:sz w:val="21"/>
        </w:rPr>
        <w:t>改进</w:t>
      </w:r>
      <w:r>
        <w:rPr>
          <w:rFonts w:eastAsia="宋体" w:ascii="Times New Roman" w:hAnsi="Times New Roman"/>
          <w:b w:val="false"/>
          <w:sz w:val="21"/>
        </w:rPr>
        <w:t>TOPSIS+</w:t>
      </w:r>
      <w:r>
        <w:rPr>
          <w:rFonts w:ascii="Times New Roman" w:hAnsi="Times New Roman" w:eastAsia="宋体"/>
          <w:b w:val="false"/>
          <w:sz w:val="21"/>
        </w:rPr>
        <w:t>双重滞后</w:t>
      </w:r>
      <w:r>
        <w:rPr>
          <w:rFonts w:eastAsia="宋体" w:ascii="Times New Roman" w:hAnsi="Times New Roman"/>
          <w:b w:val="false"/>
          <w:sz w:val="21"/>
        </w:rPr>
        <w:t>"</w:t>
      </w:r>
      <w:r>
        <w:rPr>
          <w:rFonts w:ascii="Times New Roman" w:hAnsi="Times New Roman" w:eastAsia="宋体"/>
          <w:b w:val="false"/>
          <w:sz w:val="21"/>
        </w:rPr>
        <w:t>四层架构实现候选网络评估与切换决策，增强机制进一步引入上下文感知的滞后参数和置信下界风险罚分，在不重新训练模型的条件下提升信道波动适应性。基于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w:t>
      </w:r>
      <w:r>
        <w:rPr>
          <w:rFonts w:eastAsia="宋体" w:ascii="Times New Roman" w:hAnsi="Times New Roman"/>
          <w:b w:val="false"/>
          <w:sz w:val="21"/>
        </w:rPr>
        <w:t>11</w:t>
      </w:r>
      <w:r>
        <w:rPr>
          <w:rFonts w:ascii="Times New Roman" w:hAnsi="Times New Roman" w:eastAsia="宋体"/>
          <w:b w:val="false"/>
          <w:sz w:val="21"/>
        </w:rPr>
        <w:t>算法</w:t>
      </w:r>
      <w:r>
        <w:rPr>
          <w:rFonts w:eastAsia="宋体" w:ascii="Times New Roman" w:hAnsi="Times New Roman"/>
          <w:b w:val="false"/>
          <w:sz w:val="21"/>
        </w:rPr>
        <w:t>×50</w:t>
      </w:r>
      <w:r>
        <w:rPr>
          <w:rFonts w:ascii="Times New Roman" w:hAnsi="Times New Roman" w:eastAsia="宋体"/>
          <w:b w:val="false"/>
          <w:sz w:val="21"/>
        </w:rPr>
        <w:t>种子</w:t>
      </w:r>
      <w:r>
        <w:rPr>
          <w:rFonts w:eastAsia="宋体" w:ascii="Times New Roman" w:hAnsi="Times New Roman"/>
          <w:b w:val="false"/>
          <w:sz w:val="21"/>
        </w:rPr>
        <w:t>=550</w:t>
      </w:r>
      <w:r>
        <w:rPr>
          <w:rFonts w:ascii="Times New Roman" w:hAnsi="Times New Roman" w:eastAsia="宋体"/>
          <w:b w:val="false"/>
          <w:sz w:val="21"/>
        </w:rPr>
        <w:t>次独立运行）表明：</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50</w:t>
      </w:r>
      <w:r>
        <w:rPr>
          <w:rFonts w:ascii="Times New Roman" w:hAnsi="Times New Roman" w:eastAsia="宋体"/>
          <w:b w:val="false"/>
          <w:sz w:val="21"/>
        </w:rPr>
        <w:t>组随机场景中平均切换仅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），在所有对比算法中表现最优——</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4.04</w:t>
      </w:r>
      <w:r>
        <w:rPr>
          <w:rFonts w:ascii="Times New Roman" w:hAnsi="Times New Roman" w:eastAsia="宋体"/>
          <w:b w:val="false"/>
          <w:sz w:val="21"/>
        </w:rPr>
        <w:t>次、</w:t>
      </w:r>
      <w:r>
        <w:rPr>
          <w:rFonts w:eastAsia="宋体" w:ascii="Times New Roman" w:hAnsi="Times New Roman"/>
          <w:b w:val="false"/>
          <w:sz w:val="21"/>
        </w:rPr>
        <w:t>Fuzzy-VHO</w:t>
      </w:r>
      <w:r>
        <w:rPr>
          <w:rFonts w:ascii="Times New Roman" w:hAnsi="Times New Roman" w:eastAsia="宋体"/>
          <w:b w:val="false"/>
          <w:sz w:val="21"/>
        </w:rPr>
        <w:t>为</w:t>
      </w:r>
      <w:r>
        <w:rPr>
          <w:rFonts w:eastAsia="宋体" w:ascii="Times New Roman" w:hAnsi="Times New Roman"/>
          <w:b w:val="false"/>
          <w:sz w:val="21"/>
        </w:rPr>
        <w:t>8.64</w:t>
      </w:r>
      <w:r>
        <w:rPr>
          <w:rFonts w:ascii="Times New Roman" w:hAnsi="Times New Roman" w:eastAsia="宋体"/>
          <w:b w:val="false"/>
          <w:sz w:val="21"/>
        </w:rPr>
        <w:t>次、</w:t>
      </w:r>
      <w:r>
        <w:rPr>
          <w:rFonts w:eastAsia="宋体" w:ascii="Times New Roman" w:hAnsi="Times New Roman"/>
          <w:b w:val="false"/>
          <w:sz w:val="21"/>
        </w:rPr>
        <w:t>SAW</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13.52</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19.24</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25.88</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23.88</w:t>
      </w:r>
      <w:r>
        <w:rPr>
          <w:rFonts w:ascii="Times New Roman" w:hAnsi="Times New Roman" w:eastAsia="宋体"/>
          <w:b w:val="false"/>
          <w:sz w:val="21"/>
        </w:rPr>
        <w:t>次、最强信号法为</w:t>
      </w:r>
      <w:r>
        <w:rPr>
          <w:rFonts w:eastAsia="宋体" w:ascii="Times New Roman" w:hAnsi="Times New Roman"/>
          <w:b w:val="false"/>
          <w:sz w:val="21"/>
        </w:rPr>
        <w:t>1.58</w:t>
      </w:r>
      <w:r>
        <w:rPr>
          <w:rFonts w:ascii="Times New Roman" w:hAnsi="Times New Roman" w:eastAsia="宋体"/>
          <w:b w:val="false"/>
          <w:sz w:val="21"/>
        </w:rPr>
        <w:t>次。消融实验中</w:t>
      </w:r>
      <w:r>
        <w:rPr>
          <w:rFonts w:eastAsia="宋体" w:ascii="Times New Roman" w:hAnsi="Times New Roman"/>
          <w:b w:val="false"/>
          <w:sz w:val="21"/>
        </w:rPr>
        <w:t>LAAVHA-L</w:t>
      </w:r>
      <w:r>
        <w:rPr>
          <w:rFonts w:ascii="Times New Roman" w:hAnsi="Times New Roman" w:eastAsia="宋体"/>
          <w:b w:val="false"/>
          <w:sz w:val="21"/>
        </w:rPr>
        <w:t>为</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LAAVHA-A</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次，验证了两模块的协同贡献。增强机制验证表明，自适应滞后能够在信道振荡时自动抬升切换阈值以抑制乒乓，风险敏感</w:t>
      </w:r>
      <w:r>
        <w:rPr>
          <w:rFonts w:eastAsia="宋体" w:ascii="Times New Roman" w:hAnsi="Times New Roman"/>
          <w:b w:val="false"/>
          <w:sz w:val="21"/>
        </w:rPr>
        <w:t>TOPSIS</w:t>
      </w:r>
      <w:r>
        <w:rPr>
          <w:rFonts w:ascii="Times New Roman" w:hAnsi="Times New Roman" w:eastAsia="宋体"/>
          <w:b w:val="false"/>
          <w:sz w:val="21"/>
        </w:rPr>
        <w:t>在评分竞争场景下倾向选择历史表现更稳定的网络。</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MOZAFFARI M, SAAD W, BENNIS M, et al. A tutorial on UAVs for wireless networks: applications, challenges, and open problems[J]. IEEE Communications Surveys &amp; Tutorials, 2019, 21(3): 2334-2360.</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黑体">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00"/>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qFormat="1"/>
    <w:lsdException w:name="Medium Grid 2" w:uiPriority="68" w:semiHidden="0" w:unhideWhenUsed="0" w:qFormat="1"/>
    <w:lsdException w:name="Medium Grid 3" w:uiPriority="69" w:semiHidden="0" w:unhideWhenUsed="0" w:qFormat="1"/>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qFormat="1"/>
    <w:lsdException w:name="Medium Grid 1 Accent 1" w:uiPriority="67" w:semiHidden="0" w:unhideWhenUsed="0" w:qFormat="1"/>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qFormat="1"/>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qFormat="1"/>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qFormat="1"/>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qFormat="1"/>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qFormat="1"/>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character" w:styleId="SourceText">
    <w:name w:val="Source Text"/>
    <w:qFormat/>
    <w:rPr>
      <w:rFonts w:ascii="Liberation Mono" w:hAnsi="Liberation Mono" w:eastAsia="Noto Sans Mono CJK SC" w:cs="Liberation Mono"/>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paragraph" w:styleId="TableContents" w:customStyle="1">
    <w:name w:val="Table Contents"/>
    <w:basedOn w:val="Normal"/>
    <w:uiPriority w:val="0"/>
    <w:qFormat/>
    <w:pPr>
      <w:widowControl w:val="false"/>
      <w:suppressLineNumbers/>
    </w:pPr>
    <w:rPr/>
  </w:style>
  <w:style w:type="paragraph" w:styleId="TableHeading" w:customStyle="1">
    <w:name w:val="Table Heading"/>
    <w:basedOn w:val="TableContents"/>
    <w:uiPriority w:val="0"/>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qFormat/>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qFormat/>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qFormat/>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qFormat/>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qFormat/>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qFormat/>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Application>LibreOffice/24.2.7.2$Linux_X86_64 LibreOffice_project/420$Build-2</Application>
  <AppVersion>15.0000</AppVersion>
  <Pages>13</Pages>
  <Words>10135</Words>
  <Characters>19062</Characters>
  <CharactersWithSpaces>20955</CharactersWithSpaces>
  <Paragraphs>197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2026-06-18T11:55:29Z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