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57DD1" w:rsidRDefault="00000000">
      <w:pPr>
        <w:jc w:val="center"/>
      </w:pPr>
      <w:r>
        <w:rPr>
          <w:b/>
          <w:sz w:val="28"/>
        </w:rPr>
        <w:t>Intraoperative Blood Pressure Patterns Predict Unplanned ICU Admission: A Machine Learning Analysis of the VitalDB Dataset</w:t>
      </w:r>
    </w:p>
    <w:p w:rsidR="00B57DD1" w:rsidRDefault="00B57DD1">
      <w:pPr>
        <w:spacing w:after="40"/>
        <w:jc w:val="center"/>
      </w:pPr>
    </w:p>
    <w:p w:rsidR="00B57DD1" w:rsidRDefault="00000000">
      <w:pPr>
        <w:spacing w:before="160" w:after="160"/>
        <w:jc w:val="center"/>
      </w:pPr>
      <w:r>
        <w:rPr>
          <w:color w:val="999999"/>
          <w:sz w:val="16"/>
        </w:rPr>
        <w:t>────────────────────────────────────────</w:t>
      </w:r>
    </w:p>
    <w:p w:rsidR="00B57DD1" w:rsidRDefault="00000000">
      <w:pPr>
        <w:spacing w:before="240" w:after="80"/>
      </w:pPr>
      <w:r>
        <w:rPr>
          <w:b/>
        </w:rPr>
        <w:t>Background</w:t>
      </w:r>
    </w:p>
    <w:p w:rsidR="00B57DD1" w:rsidRDefault="00000000">
      <w:pPr>
        <w:jc w:val="both"/>
      </w:pPr>
      <w:r>
        <w:t>Decisions about postoperative ICU admission are often made at the end of surgery based on clinical judgement alone. Continuous arterial blood pressure monitoring generates thousands of data points per case that are routinely recorded but rarely used systematically for disposition planning. We investigated whether intraoperative haemodynamic patterns, derived entirely from data already collected during surgery, can predict which patients will require ICU admission.</w:t>
      </w:r>
    </w:p>
    <w:p w:rsidR="00B57DD1" w:rsidRDefault="00000000">
      <w:pPr>
        <w:spacing w:before="240" w:after="80"/>
      </w:pPr>
      <w:r>
        <w:rPr>
          <w:b/>
        </w:rPr>
        <w:t>Methods</w:t>
      </w:r>
    </w:p>
    <w:p w:rsidR="00B57DD1" w:rsidRDefault="00000000">
      <w:pPr>
        <w:jc w:val="both"/>
      </w:pPr>
      <w:r>
        <w:t>We analysed 100 surgical cases from VitalDB, an open-access database of high-fidelity intraoperative physiological recordings from Seoul National University Hospital. Beat-averaged mean arterial pressure (MAP) waveforms recorded at 2-second resolution were reduced to 12 interpretable haemodynamic burden features, including mean MAP, percentage of time below 65 mmHg and 55 mmHg, number of discrete hypotensive episodes, maximum episode duration, and MAP variability. These were combined with intraoperative clinical variables (estimated blood loss, fluid administration, vasopressor use). Two models were compared using 5-fold stratified cross-validation: Model A (16 intraoperative features only) and Model B (22 features including preoperative age, BMI, ASA classification, and comorbidities). Three classifiers were evaluated: logistic regression, random forest, and gradient boosting.</w:t>
      </w:r>
    </w:p>
    <w:p w:rsidR="00B57DD1" w:rsidRDefault="00000000">
      <w:pPr>
        <w:spacing w:before="240" w:after="80"/>
      </w:pPr>
      <w:r>
        <w:rPr>
          <w:b/>
        </w:rPr>
        <w:t>Results</w:t>
      </w:r>
    </w:p>
    <w:p w:rsidR="00B57DD1" w:rsidRDefault="00000000">
      <w:pPr>
        <w:jc w:val="both"/>
      </w:pPr>
      <w:r>
        <w:t>Fifty-one patients (51%) required ICU admission. The best-performing model was the intraoperative-only random forest (Model A), achieving an area under the receiver operating characteristic curve (AUC) of 0.789 (± 0.044), sensitivity of 77%, specificity of 67%, and F1 score of 0.74. Adding preoperative demographics did not improve performance (Model B AUC = 0.768). The single most important predictor was the number of discrete hypotensive episodes (Gini importance 0.172), followed by percentage of time with severe hypotension (MAP &lt; 55 mmHg) and case duration. ICU patients had significantly lower mean MAP throughout the entire case (79.1 vs 83.9 mmHg, p = 0.036), with the greatest divergence during the surgical maintenance phase.</w:t>
      </w:r>
    </w:p>
    <w:p w:rsidR="00B57DD1" w:rsidRDefault="00000000">
      <w:pPr>
        <w:spacing w:before="240" w:after="80"/>
      </w:pPr>
      <w:r>
        <w:rPr>
          <w:b/>
        </w:rPr>
        <w:t>Conclusions</w:t>
      </w:r>
    </w:p>
    <w:p w:rsidR="00B57DD1" w:rsidRDefault="00000000">
      <w:pPr>
        <w:jc w:val="both"/>
      </w:pPr>
      <w:r>
        <w:t>Intraoperative haemodynamic patterns predict ICU admission more accurately than models incorporating preoperative patient characteristics, suggesting that cumulative physiological insult during surgery dominates over baseline patient risk. Notably, the number of discrete hypotensive episodes was a stronger predictor than total hypotension duration, consistent with an ischaemia-</w:t>
      </w:r>
      <w:r>
        <w:lastRenderedPageBreak/>
        <w:t>reperfusion injury mechanism. This approach requires no additional monitoring equipment and could be embedded into existing anaesthesia information management systems as an automated end-of-case ICU triage tool. External validation in larger, multi-centre cohorts with general surgical prevalence rates is needed.</w:t>
      </w:r>
    </w:p>
    <w:p w:rsidR="00B57DD1" w:rsidRDefault="00000000">
      <w:pPr>
        <w:spacing w:before="240" w:after="80"/>
      </w:pPr>
      <w:r>
        <w:rPr>
          <w:b/>
          <w:sz w:val="22"/>
        </w:rPr>
        <w:t xml:space="preserve">Keywords: </w:t>
      </w:r>
      <w:r>
        <w:rPr>
          <w:i/>
          <w:sz w:val="22"/>
        </w:rPr>
        <w:t>intraoperative hypotension, ICU admission, machine learning, haemodynamic monitoring, clinical decision support</w:t>
      </w:r>
    </w:p>
    <w:p w:rsidR="00B57DD1" w:rsidRDefault="00000000">
      <w:pPr>
        <w:spacing w:before="320"/>
      </w:pPr>
      <w:r>
        <w:rPr>
          <w:color w:val="666666"/>
          <w:sz w:val="20"/>
        </w:rPr>
        <w:t>Data source: VitalDB (vitaldb.net) — Seoul National University Hospital. All analyses performed on the open-access dataset under the VitalDB data use agreement.</w:t>
      </w:r>
    </w:p>
    <w:p w:rsidR="00B57DD1" w:rsidRDefault="00000000">
      <w:pPr>
        <w:spacing w:before="240"/>
        <w:jc w:val="right"/>
      </w:pPr>
      <w:r>
        <w:rPr>
          <w:i/>
          <w:color w:val="999999"/>
          <w:sz w:val="18"/>
        </w:rPr>
        <w:t>Word count (body): ~366</w:t>
      </w:r>
    </w:p>
    <w:sectPr w:rsidR="00B57DD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2759035">
    <w:abstractNumId w:val="8"/>
  </w:num>
  <w:num w:numId="2" w16cid:durableId="359934223">
    <w:abstractNumId w:val="6"/>
  </w:num>
  <w:num w:numId="3" w16cid:durableId="1048648638">
    <w:abstractNumId w:val="5"/>
  </w:num>
  <w:num w:numId="4" w16cid:durableId="2064716950">
    <w:abstractNumId w:val="4"/>
  </w:num>
  <w:num w:numId="5" w16cid:durableId="885722874">
    <w:abstractNumId w:val="7"/>
  </w:num>
  <w:num w:numId="6" w16cid:durableId="1455949175">
    <w:abstractNumId w:val="3"/>
  </w:num>
  <w:num w:numId="7" w16cid:durableId="1690060778">
    <w:abstractNumId w:val="2"/>
  </w:num>
  <w:num w:numId="8" w16cid:durableId="1225680987">
    <w:abstractNumId w:val="1"/>
  </w:num>
  <w:num w:numId="9" w16cid:durableId="458501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5870"/>
    <w:rsid w:val="0015074B"/>
    <w:rsid w:val="0029639D"/>
    <w:rsid w:val="00326F90"/>
    <w:rsid w:val="0065453B"/>
    <w:rsid w:val="00AA1D8D"/>
    <w:rsid w:val="00B47730"/>
    <w:rsid w:val="00B57DD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3BF303"/>
  <w14:defaultImageDpi w14:val="300"/>
  <w15:docId w15:val="{694300E2-A2A0-F542-9A54-DE4FFED21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493</Words>
  <Characters>2812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Idris Chikophe</cp:lastModifiedBy>
  <cp:revision>2</cp:revision>
  <dcterms:created xsi:type="dcterms:W3CDTF">2013-12-23T23:15:00Z</dcterms:created>
  <dcterms:modified xsi:type="dcterms:W3CDTF">2026-03-31T19:42:00Z</dcterms:modified>
  <cp:category/>
</cp:coreProperties>
</file>